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C6" w:rsidRPr="00EC7958" w:rsidRDefault="00CC0AC6" w:rsidP="00CC0AC6">
      <w:pPr>
        <w:jc w:val="both"/>
        <w:rPr>
          <w:rFonts w:ascii="Arial" w:hAnsi="Arial" w:cs="Arial"/>
        </w:rPr>
      </w:pPr>
      <w:r w:rsidRPr="00EC7958">
        <w:rPr>
          <w:rFonts w:ascii="Arial" w:hAnsi="Arial" w:cs="Arial"/>
        </w:rPr>
        <w:t>KOBV – Nachrichtendienst</w:t>
      </w:r>
    </w:p>
    <w:p w:rsidR="00CC0AC6" w:rsidRPr="00EC7958" w:rsidRDefault="00CC0AC6" w:rsidP="00CC0AC6">
      <w:pPr>
        <w:jc w:val="both"/>
        <w:rPr>
          <w:rFonts w:ascii="Arial" w:hAnsi="Arial" w:cs="Arial"/>
        </w:rPr>
      </w:pPr>
    </w:p>
    <w:p w:rsidR="00CC0AC6" w:rsidRPr="00EC7958" w:rsidRDefault="00CC0AC6" w:rsidP="00CC0AC6">
      <w:pPr>
        <w:pStyle w:val="berschrift2"/>
        <w:jc w:val="both"/>
        <w:rPr>
          <w:rFonts w:cs="Arial"/>
        </w:rPr>
      </w:pPr>
      <w:r w:rsidRPr="00EC7958">
        <w:rPr>
          <w:rFonts w:cs="Arial"/>
          <w:lang w:val="de-AT"/>
        </w:rPr>
        <w:t>Was ist NEU 201</w:t>
      </w:r>
      <w:r>
        <w:rPr>
          <w:rFonts w:cs="Arial"/>
          <w:lang w:val="de-AT"/>
        </w:rPr>
        <w:t>5</w:t>
      </w:r>
      <w:r w:rsidRPr="00EC7958">
        <w:rPr>
          <w:rFonts w:cs="Arial"/>
          <w:lang w:val="de-AT"/>
        </w:rPr>
        <w:t xml:space="preserve">! </w:t>
      </w:r>
      <w:r w:rsidRPr="00EC7958">
        <w:rPr>
          <w:rFonts w:cs="Arial"/>
        </w:rPr>
        <w:t>In der aktuellen Ausgabe finden sie Informationen über:</w:t>
      </w:r>
    </w:p>
    <w:p w:rsidR="00CC0AC6" w:rsidRPr="00EC7958" w:rsidRDefault="00CC0AC6" w:rsidP="00CC0AC6">
      <w:pPr>
        <w:ind w:left="284" w:hanging="284"/>
        <w:jc w:val="both"/>
        <w:rPr>
          <w:rFonts w:ascii="Arial" w:hAnsi="Arial" w:cs="Arial"/>
        </w:rPr>
      </w:pPr>
    </w:p>
    <w:p w:rsidR="00CC0AC6" w:rsidRPr="00EC7958" w:rsidRDefault="00CC0AC6" w:rsidP="00E561AB">
      <w:pPr>
        <w:pStyle w:val="berschrift1"/>
        <w:numPr>
          <w:ilvl w:val="0"/>
          <w:numId w:val="6"/>
        </w:numPr>
        <w:tabs>
          <w:tab w:val="left" w:pos="180"/>
        </w:tabs>
        <w:jc w:val="both"/>
        <w:rPr>
          <w:rFonts w:cs="Arial"/>
          <w:b w:val="0"/>
          <w:bCs/>
          <w:sz w:val="24"/>
          <w:lang w:val="de-AT"/>
        </w:rPr>
      </w:pPr>
      <w:r w:rsidRPr="00EC7958">
        <w:rPr>
          <w:rFonts w:cs="Arial"/>
          <w:b w:val="0"/>
          <w:bCs/>
          <w:sz w:val="24"/>
          <w:lang w:val="de-AT"/>
        </w:rPr>
        <w:t>Pensionsinformation 201</w:t>
      </w:r>
      <w:r>
        <w:rPr>
          <w:rFonts w:cs="Arial"/>
          <w:b w:val="0"/>
          <w:bCs/>
          <w:sz w:val="24"/>
          <w:lang w:val="de-AT"/>
        </w:rPr>
        <w:t>5</w:t>
      </w:r>
    </w:p>
    <w:p w:rsidR="00CC0AC6" w:rsidRPr="00EC7958" w:rsidRDefault="00CC0AC6" w:rsidP="00E561AB">
      <w:pPr>
        <w:pStyle w:val="berschrift1"/>
        <w:numPr>
          <w:ilvl w:val="0"/>
          <w:numId w:val="6"/>
        </w:numPr>
        <w:jc w:val="both"/>
        <w:rPr>
          <w:rFonts w:cs="Arial"/>
          <w:b w:val="0"/>
          <w:sz w:val="24"/>
        </w:rPr>
      </w:pPr>
      <w:r w:rsidRPr="00EC7958">
        <w:rPr>
          <w:rFonts w:cs="Arial"/>
          <w:b w:val="0"/>
          <w:sz w:val="24"/>
        </w:rPr>
        <w:t>Rezeptgebühr</w:t>
      </w:r>
    </w:p>
    <w:p w:rsidR="00CC0AC6" w:rsidRPr="00EC7958" w:rsidRDefault="00CC0AC6" w:rsidP="00E561AB">
      <w:pPr>
        <w:pStyle w:val="berschrift1"/>
        <w:numPr>
          <w:ilvl w:val="0"/>
          <w:numId w:val="6"/>
        </w:numPr>
        <w:jc w:val="both"/>
        <w:rPr>
          <w:rFonts w:cs="Arial"/>
          <w:b w:val="0"/>
          <w:sz w:val="24"/>
        </w:rPr>
      </w:pPr>
      <w:r w:rsidRPr="00EC7958">
        <w:rPr>
          <w:rFonts w:cs="Arial"/>
          <w:b w:val="0"/>
          <w:sz w:val="24"/>
        </w:rPr>
        <w:t>Heilbehelfe - Kostenanteil</w:t>
      </w:r>
    </w:p>
    <w:p w:rsidR="00CC0AC6" w:rsidRPr="00E561AB" w:rsidRDefault="00CC0AC6" w:rsidP="00E561AB">
      <w:pPr>
        <w:pStyle w:val="Listenabsatz"/>
        <w:numPr>
          <w:ilvl w:val="0"/>
          <w:numId w:val="6"/>
        </w:numPr>
        <w:jc w:val="both"/>
        <w:outlineLvl w:val="1"/>
        <w:rPr>
          <w:rFonts w:ascii="Arial" w:hAnsi="Arial" w:cs="Arial"/>
          <w:bCs/>
        </w:rPr>
      </w:pPr>
      <w:r w:rsidRPr="00E561AB">
        <w:rPr>
          <w:rFonts w:ascii="Arial" w:hAnsi="Arial" w:cs="Arial"/>
          <w:bCs/>
        </w:rPr>
        <w:t>Zuzahlungen bei Rehabilitations- und Kuraufenthalten</w:t>
      </w:r>
    </w:p>
    <w:p w:rsidR="00CC0AC6" w:rsidRPr="00EC7958" w:rsidRDefault="00CC0AC6" w:rsidP="00E561AB">
      <w:pPr>
        <w:pStyle w:val="berschrift2"/>
        <w:numPr>
          <w:ilvl w:val="0"/>
          <w:numId w:val="6"/>
        </w:numPr>
        <w:jc w:val="both"/>
        <w:rPr>
          <w:rFonts w:cs="Arial"/>
          <w:b w:val="0"/>
        </w:rPr>
      </w:pPr>
      <w:r w:rsidRPr="00EC7958">
        <w:rPr>
          <w:rFonts w:cs="Arial"/>
          <w:b w:val="0"/>
        </w:rPr>
        <w:t xml:space="preserve">Service – Entgelt für die e-card  </w:t>
      </w:r>
    </w:p>
    <w:p w:rsidR="00CC0AC6" w:rsidRPr="00EC7958" w:rsidRDefault="00CC0AC6" w:rsidP="00E561AB">
      <w:pPr>
        <w:pStyle w:val="berschrift1"/>
        <w:numPr>
          <w:ilvl w:val="0"/>
          <w:numId w:val="6"/>
        </w:numPr>
        <w:jc w:val="both"/>
        <w:rPr>
          <w:rFonts w:cs="Arial"/>
          <w:b w:val="0"/>
          <w:sz w:val="24"/>
        </w:rPr>
      </w:pPr>
      <w:r w:rsidRPr="00EC7958">
        <w:rPr>
          <w:rFonts w:cs="Arial"/>
          <w:b w:val="0"/>
          <w:sz w:val="24"/>
        </w:rPr>
        <w:t>Rundfunkgebührenbefreiung, Zuschuss zum Fernsprechentgelt und Befreiung von der Ökostrompauschale</w:t>
      </w:r>
    </w:p>
    <w:p w:rsidR="00CC0AC6" w:rsidRDefault="00CC0AC6" w:rsidP="00E561AB">
      <w:pPr>
        <w:pStyle w:val="Listenabsatz"/>
        <w:numPr>
          <w:ilvl w:val="0"/>
          <w:numId w:val="6"/>
        </w:numPr>
        <w:jc w:val="both"/>
        <w:rPr>
          <w:rFonts w:ascii="Arial" w:hAnsi="Arial" w:cs="Arial"/>
          <w:lang w:val="de-CH"/>
        </w:rPr>
      </w:pPr>
      <w:r w:rsidRPr="00E561AB">
        <w:rPr>
          <w:rFonts w:ascii="Arial" w:hAnsi="Arial" w:cs="Arial"/>
          <w:lang w:val="de-CH"/>
        </w:rPr>
        <w:t xml:space="preserve">Ausgleichstaxe </w:t>
      </w:r>
    </w:p>
    <w:p w:rsidR="0042365B" w:rsidRPr="0042365B" w:rsidRDefault="0042365B" w:rsidP="0042365B">
      <w:pPr>
        <w:pStyle w:val="Listenabsatz"/>
        <w:numPr>
          <w:ilvl w:val="0"/>
          <w:numId w:val="6"/>
        </w:numPr>
        <w:rPr>
          <w:rFonts w:ascii="Arial" w:hAnsi="Arial" w:cs="Arial"/>
        </w:rPr>
      </w:pPr>
      <w:r w:rsidRPr="0042365B">
        <w:rPr>
          <w:rFonts w:ascii="Arial" w:hAnsi="Arial" w:cs="Arial"/>
        </w:rPr>
        <w:t>Sozialversicherungs-Anpassungsgesetz</w:t>
      </w:r>
    </w:p>
    <w:p w:rsidR="00E561AB" w:rsidRPr="00E561AB" w:rsidRDefault="00E561AB" w:rsidP="00E561AB">
      <w:pPr>
        <w:pStyle w:val="Listenabsatz"/>
        <w:numPr>
          <w:ilvl w:val="0"/>
          <w:numId w:val="6"/>
        </w:numPr>
        <w:jc w:val="both"/>
        <w:rPr>
          <w:rFonts w:ascii="Arial" w:hAnsi="Arial" w:cs="Arial"/>
          <w:lang w:val="de-CH"/>
        </w:rPr>
      </w:pPr>
      <w:r w:rsidRPr="00E561AB">
        <w:rPr>
          <w:rFonts w:ascii="Arial" w:hAnsi="Arial" w:cs="Arial"/>
          <w:lang w:val="de-CH"/>
        </w:rPr>
        <w:t>Änderungen im Bundespflegegeldgesetz</w:t>
      </w:r>
    </w:p>
    <w:p w:rsidR="00E561AB" w:rsidRPr="00E561AB" w:rsidRDefault="00E561AB" w:rsidP="00E561AB">
      <w:pPr>
        <w:jc w:val="both"/>
        <w:rPr>
          <w:rFonts w:ascii="Arial" w:hAnsi="Arial" w:cs="Arial"/>
          <w:lang w:val="de-CH"/>
        </w:rPr>
      </w:pPr>
    </w:p>
    <w:p w:rsidR="001B0C99" w:rsidRDefault="001B0C99"/>
    <w:p w:rsidR="003D76FE" w:rsidRDefault="003D76FE"/>
    <w:p w:rsidR="00E561AB" w:rsidRPr="00540625" w:rsidRDefault="00E561AB" w:rsidP="00E561AB">
      <w:pPr>
        <w:pStyle w:val="berschrift1"/>
        <w:numPr>
          <w:ilvl w:val="0"/>
          <w:numId w:val="5"/>
        </w:numPr>
        <w:tabs>
          <w:tab w:val="left" w:pos="180"/>
        </w:tabs>
        <w:rPr>
          <w:rFonts w:cs="Arial"/>
          <w:bCs/>
        </w:rPr>
      </w:pPr>
      <w:r w:rsidRPr="00540625">
        <w:rPr>
          <w:rFonts w:cs="Arial"/>
          <w:bCs/>
        </w:rPr>
        <w:t xml:space="preserve">Pensionsinformation </w:t>
      </w:r>
      <w:r>
        <w:rPr>
          <w:rFonts w:cs="Arial"/>
          <w:bCs/>
        </w:rPr>
        <w:t>2015</w:t>
      </w:r>
    </w:p>
    <w:p w:rsidR="00E561AB" w:rsidRPr="00540625" w:rsidRDefault="00E561AB" w:rsidP="00E561AB">
      <w:pPr>
        <w:pStyle w:val="berschrift2"/>
        <w:tabs>
          <w:tab w:val="left" w:pos="180"/>
        </w:tabs>
        <w:rPr>
          <w:rFonts w:cs="Arial"/>
          <w:bCs/>
        </w:rPr>
      </w:pPr>
    </w:p>
    <w:p w:rsidR="00E561AB" w:rsidRPr="00540625" w:rsidRDefault="00E561AB" w:rsidP="00E561AB">
      <w:pPr>
        <w:pStyle w:val="berschrift2"/>
        <w:tabs>
          <w:tab w:val="left" w:pos="180"/>
        </w:tabs>
        <w:rPr>
          <w:rFonts w:eastAsia="Arial Unicode MS" w:cs="Arial"/>
          <w:bCs/>
        </w:rPr>
      </w:pPr>
      <w:r w:rsidRPr="00540625">
        <w:rPr>
          <w:rFonts w:cs="Arial"/>
          <w:bCs/>
        </w:rPr>
        <w:t>Pensionen</w:t>
      </w:r>
    </w:p>
    <w:p w:rsidR="00E561AB" w:rsidRPr="00540625" w:rsidRDefault="00E561AB" w:rsidP="00E561AB">
      <w:pPr>
        <w:pStyle w:val="Blocktext"/>
        <w:tabs>
          <w:tab w:val="left" w:pos="180"/>
        </w:tabs>
        <w:spacing w:line="240" w:lineRule="auto"/>
        <w:ind w:left="0" w:right="-2"/>
        <w:jc w:val="left"/>
        <w:rPr>
          <w:rFonts w:ascii="Arial" w:hAnsi="Arial" w:cs="Arial"/>
          <w:b w:val="0"/>
          <w:bCs/>
          <w:color w:val="auto"/>
          <w:sz w:val="25"/>
          <w:lang w:val="de-AT"/>
        </w:rPr>
      </w:pPr>
      <w:r w:rsidRPr="00540625">
        <w:rPr>
          <w:rFonts w:ascii="Arial" w:hAnsi="Arial" w:cs="Arial"/>
          <w:b w:val="0"/>
          <w:bCs/>
          <w:color w:val="auto"/>
          <w:sz w:val="25"/>
          <w:lang w:val="de-AT"/>
        </w:rPr>
        <w:t>Die Pension</w:t>
      </w:r>
      <w:r>
        <w:rPr>
          <w:rFonts w:ascii="Arial" w:hAnsi="Arial" w:cs="Arial"/>
          <w:b w:val="0"/>
          <w:bCs/>
          <w:color w:val="auto"/>
          <w:sz w:val="25"/>
          <w:lang w:val="de-AT"/>
        </w:rPr>
        <w:t>en</w:t>
      </w:r>
      <w:r w:rsidRPr="00540625">
        <w:rPr>
          <w:rFonts w:ascii="Arial" w:hAnsi="Arial" w:cs="Arial"/>
          <w:b w:val="0"/>
          <w:bCs/>
          <w:color w:val="auto"/>
          <w:sz w:val="25"/>
          <w:lang w:val="de-AT"/>
        </w:rPr>
        <w:t xml:space="preserve"> </w:t>
      </w:r>
      <w:r>
        <w:rPr>
          <w:rFonts w:ascii="Arial" w:hAnsi="Arial" w:cs="Arial"/>
          <w:b w:val="0"/>
          <w:bCs/>
          <w:color w:val="auto"/>
          <w:sz w:val="25"/>
          <w:lang w:val="de-AT"/>
        </w:rPr>
        <w:t>werden ab 1. Jänner</w:t>
      </w:r>
      <w:r w:rsidRPr="00540625">
        <w:rPr>
          <w:rFonts w:ascii="Arial" w:hAnsi="Arial" w:cs="Arial"/>
          <w:b w:val="0"/>
          <w:bCs/>
          <w:color w:val="auto"/>
          <w:sz w:val="25"/>
          <w:lang w:val="de-AT"/>
        </w:rPr>
        <w:t xml:space="preserve"> 20</w:t>
      </w:r>
      <w:r>
        <w:rPr>
          <w:rFonts w:ascii="Arial" w:hAnsi="Arial" w:cs="Arial"/>
          <w:b w:val="0"/>
          <w:bCs/>
          <w:color w:val="auto"/>
          <w:sz w:val="25"/>
          <w:lang w:val="de-AT"/>
        </w:rPr>
        <w:t>15</w:t>
      </w:r>
      <w:r w:rsidRPr="00540625">
        <w:rPr>
          <w:rFonts w:ascii="Arial" w:hAnsi="Arial" w:cs="Arial"/>
          <w:b w:val="0"/>
          <w:bCs/>
          <w:color w:val="auto"/>
          <w:sz w:val="25"/>
          <w:lang w:val="de-AT"/>
        </w:rPr>
        <w:t xml:space="preserve"> </w:t>
      </w:r>
      <w:r>
        <w:rPr>
          <w:rFonts w:ascii="Arial" w:hAnsi="Arial" w:cs="Arial"/>
          <w:b w:val="0"/>
          <w:bCs/>
          <w:color w:val="auto"/>
          <w:sz w:val="25"/>
          <w:lang w:val="de-AT"/>
        </w:rPr>
        <w:t>nach Maßgabe der gesetzlichen Bestimmungen um 1,7 % erhöht.</w:t>
      </w:r>
    </w:p>
    <w:p w:rsidR="00E561AB" w:rsidRPr="00D87F85" w:rsidRDefault="00E561AB" w:rsidP="00E561AB">
      <w:pPr>
        <w:tabs>
          <w:tab w:val="left" w:pos="567"/>
          <w:tab w:val="right" w:leader="dot" w:pos="9070"/>
        </w:tabs>
        <w:rPr>
          <w:rFonts w:ascii="Arial" w:hAnsi="Arial" w:cs="Arial"/>
        </w:rPr>
      </w:pPr>
      <w:r w:rsidRPr="00D87F85">
        <w:rPr>
          <w:rFonts w:ascii="Arial" w:hAnsi="Arial" w:cs="Arial"/>
        </w:rPr>
        <w:t>Pensionen mit einem Stichtag im Jahr 201</w:t>
      </w:r>
      <w:r>
        <w:rPr>
          <w:rFonts w:ascii="Arial" w:hAnsi="Arial" w:cs="Arial"/>
        </w:rPr>
        <w:t>4</w:t>
      </w:r>
      <w:r w:rsidRPr="00D87F85">
        <w:rPr>
          <w:rFonts w:ascii="Arial" w:hAnsi="Arial" w:cs="Arial"/>
        </w:rPr>
        <w:t xml:space="preserve"> werden erst ab 1. Jänner 201</w:t>
      </w:r>
      <w:r>
        <w:rPr>
          <w:rFonts w:ascii="Arial" w:hAnsi="Arial" w:cs="Arial"/>
        </w:rPr>
        <w:t>6</w:t>
      </w:r>
      <w:r w:rsidRPr="00D87F85">
        <w:rPr>
          <w:rFonts w:ascii="Arial" w:hAnsi="Arial" w:cs="Arial"/>
        </w:rPr>
        <w:t xml:space="preserve"> angepasst!</w:t>
      </w:r>
    </w:p>
    <w:p w:rsidR="00E561AB" w:rsidRPr="00540625" w:rsidRDefault="00E561AB" w:rsidP="00E561AB">
      <w:pPr>
        <w:pStyle w:val="Kopfzeile"/>
        <w:tabs>
          <w:tab w:val="clear" w:pos="4536"/>
          <w:tab w:val="clear" w:pos="9072"/>
          <w:tab w:val="left" w:pos="1134"/>
        </w:tabs>
        <w:rPr>
          <w:rFonts w:ascii="Arial" w:hAnsi="Arial" w:cs="Arial"/>
        </w:rPr>
      </w:pPr>
    </w:p>
    <w:p w:rsidR="00E561AB" w:rsidRPr="00540625" w:rsidRDefault="00E561AB" w:rsidP="00E561AB">
      <w:pPr>
        <w:pStyle w:val="Kopfzeile"/>
        <w:tabs>
          <w:tab w:val="clear" w:pos="4536"/>
          <w:tab w:val="left" w:leader="dot" w:pos="7797"/>
          <w:tab w:val="decimal" w:pos="8820"/>
        </w:tabs>
        <w:rPr>
          <w:rFonts w:ascii="Arial" w:hAnsi="Arial" w:cs="Arial"/>
        </w:rPr>
      </w:pPr>
      <w:r w:rsidRPr="00540625">
        <w:rPr>
          <w:rFonts w:ascii="Arial" w:hAnsi="Arial" w:cs="Arial"/>
        </w:rPr>
        <w:t>Höchstbemessungsgrundlage (auf Basis der „besten 2</w:t>
      </w:r>
      <w:r>
        <w:rPr>
          <w:rFonts w:ascii="Arial" w:hAnsi="Arial" w:cs="Arial"/>
        </w:rPr>
        <w:t>7</w:t>
      </w:r>
      <w:r w:rsidRPr="00540625">
        <w:rPr>
          <w:rFonts w:ascii="Arial" w:hAnsi="Arial" w:cs="Arial"/>
        </w:rPr>
        <w:t xml:space="preserve"> Jahre“) beträgt</w:t>
      </w:r>
      <w:r w:rsidRPr="00540625">
        <w:rPr>
          <w:rFonts w:ascii="Arial" w:hAnsi="Arial" w:cs="Arial"/>
        </w:rPr>
        <w:tab/>
      </w:r>
      <w:r>
        <w:rPr>
          <w:rFonts w:ascii="Arial" w:hAnsi="Arial" w:cs="Arial"/>
        </w:rPr>
        <w:t>€</w:t>
      </w:r>
      <w:r>
        <w:rPr>
          <w:rFonts w:ascii="Arial" w:hAnsi="Arial" w:cs="Arial"/>
        </w:rPr>
        <w:tab/>
        <w:t>4.033,14</w:t>
      </w:r>
    </w:p>
    <w:p w:rsidR="00E561AB" w:rsidRPr="006354EC" w:rsidRDefault="00E561AB" w:rsidP="00E561AB">
      <w:pPr>
        <w:pStyle w:val="Kopfzeile"/>
        <w:tabs>
          <w:tab w:val="clear" w:pos="4536"/>
          <w:tab w:val="left" w:leader="dot" w:pos="7797"/>
          <w:tab w:val="decimal" w:pos="8820"/>
        </w:tabs>
        <w:rPr>
          <w:rFonts w:ascii="Arial" w:hAnsi="Arial" w:cs="Arial"/>
        </w:rPr>
      </w:pPr>
      <w:r w:rsidRPr="006354EC">
        <w:rPr>
          <w:rFonts w:ascii="Arial" w:hAnsi="Arial" w:cs="Arial"/>
        </w:rPr>
        <w:t xml:space="preserve">Bemessungsgrundlage für Zeiten der Kindererziehung </w:t>
      </w:r>
      <w:r>
        <w:rPr>
          <w:rFonts w:ascii="Arial" w:hAnsi="Arial" w:cs="Arial"/>
        </w:rPr>
        <w:tab/>
        <w:t>€</w:t>
      </w:r>
      <w:r>
        <w:rPr>
          <w:rFonts w:ascii="Arial" w:hAnsi="Arial" w:cs="Arial"/>
        </w:rPr>
        <w:tab/>
        <w:t>1.081,66</w:t>
      </w:r>
    </w:p>
    <w:p w:rsidR="00E561AB" w:rsidRPr="006354EC" w:rsidRDefault="00E561AB" w:rsidP="00E561AB">
      <w:pPr>
        <w:tabs>
          <w:tab w:val="left" w:leader="dot" w:pos="7797"/>
          <w:tab w:val="decimal" w:pos="8820"/>
        </w:tabs>
        <w:rPr>
          <w:rFonts w:ascii="Arial" w:hAnsi="Arial" w:cs="Arial"/>
        </w:rPr>
      </w:pPr>
    </w:p>
    <w:p w:rsidR="00E561AB" w:rsidRPr="006354EC" w:rsidRDefault="00E561AB" w:rsidP="00E561AB">
      <w:pPr>
        <w:pStyle w:val="berschrift1"/>
        <w:tabs>
          <w:tab w:val="left" w:leader="dot" w:pos="7797"/>
          <w:tab w:val="decimal" w:pos="8820"/>
        </w:tabs>
        <w:rPr>
          <w:rFonts w:eastAsia="Arial Unicode MS"/>
          <w:sz w:val="24"/>
        </w:rPr>
      </w:pPr>
      <w:r w:rsidRPr="006354EC">
        <w:rPr>
          <w:sz w:val="24"/>
        </w:rPr>
        <w:t>Richtsätze für Ausgleichszulagen</w:t>
      </w:r>
    </w:p>
    <w:p w:rsidR="00E561AB" w:rsidRPr="006354EC" w:rsidRDefault="00E561AB" w:rsidP="00E561AB">
      <w:pPr>
        <w:tabs>
          <w:tab w:val="left" w:leader="dot" w:pos="7797"/>
          <w:tab w:val="decimal" w:pos="8820"/>
        </w:tabs>
        <w:rPr>
          <w:rFonts w:ascii="Arial" w:hAnsi="Arial" w:cs="Arial"/>
        </w:rPr>
      </w:pPr>
    </w:p>
    <w:p w:rsidR="00E561AB" w:rsidRPr="006354EC" w:rsidRDefault="00E561AB" w:rsidP="00E561AB">
      <w:pPr>
        <w:pStyle w:val="berschrift2"/>
        <w:tabs>
          <w:tab w:val="left" w:leader="dot" w:pos="7797"/>
          <w:tab w:val="decimal" w:pos="8820"/>
        </w:tabs>
        <w:rPr>
          <w:rFonts w:eastAsia="Arial Unicode MS" w:cs="Arial"/>
          <w:bCs/>
        </w:rPr>
      </w:pPr>
      <w:r w:rsidRPr="006354EC">
        <w:rPr>
          <w:rFonts w:cs="Arial"/>
          <w:bCs/>
        </w:rPr>
        <w:t>Alters- und Invaliditätspensionen</w:t>
      </w: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für Alleinstehende</w:t>
      </w:r>
      <w:r w:rsidRPr="006354EC">
        <w:rPr>
          <w:rFonts w:ascii="Arial" w:hAnsi="Arial" w:cs="Arial"/>
        </w:rPr>
        <w:tab/>
      </w:r>
      <w:r>
        <w:rPr>
          <w:rFonts w:ascii="Arial" w:hAnsi="Arial" w:cs="Arial"/>
        </w:rPr>
        <w:t>€</w:t>
      </w:r>
      <w:r>
        <w:rPr>
          <w:rFonts w:ascii="Arial" w:hAnsi="Arial" w:cs="Arial"/>
        </w:rPr>
        <w:tab/>
        <w:t>872,31</w:t>
      </w: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für Ehepaare</w:t>
      </w:r>
      <w:r w:rsidRPr="006354EC">
        <w:rPr>
          <w:rFonts w:ascii="Arial" w:hAnsi="Arial" w:cs="Arial"/>
        </w:rPr>
        <w:tab/>
      </w:r>
      <w:r>
        <w:rPr>
          <w:rFonts w:ascii="Arial" w:hAnsi="Arial" w:cs="Arial"/>
        </w:rPr>
        <w:t>€</w:t>
      </w:r>
      <w:r>
        <w:rPr>
          <w:rFonts w:ascii="Arial" w:hAnsi="Arial" w:cs="Arial"/>
        </w:rPr>
        <w:tab/>
        <w:t>1.307,89</w:t>
      </w:r>
    </w:p>
    <w:p w:rsidR="00E561AB" w:rsidRPr="006354EC" w:rsidRDefault="00E561AB" w:rsidP="00E561AB">
      <w:pPr>
        <w:tabs>
          <w:tab w:val="left" w:leader="dot" w:pos="7797"/>
          <w:tab w:val="decimal" w:pos="8789"/>
        </w:tabs>
        <w:rPr>
          <w:rFonts w:ascii="Arial" w:hAnsi="Arial" w:cs="Arial"/>
        </w:rPr>
      </w:pPr>
      <w:r w:rsidRPr="006354EC">
        <w:rPr>
          <w:rFonts w:ascii="Arial" w:hAnsi="Arial" w:cs="Arial"/>
        </w:rPr>
        <w:t>Erhöhung für jedes Kind</w:t>
      </w:r>
      <w:r w:rsidRPr="006354EC">
        <w:rPr>
          <w:rFonts w:ascii="Arial" w:hAnsi="Arial" w:cs="Arial"/>
        </w:rPr>
        <w:tab/>
      </w:r>
      <w:r>
        <w:rPr>
          <w:rFonts w:ascii="Arial" w:hAnsi="Arial" w:cs="Arial"/>
        </w:rPr>
        <w:t>€</w:t>
      </w:r>
      <w:r>
        <w:rPr>
          <w:rFonts w:ascii="Arial" w:hAnsi="Arial" w:cs="Arial"/>
        </w:rPr>
        <w:tab/>
        <w:t>134,59</w:t>
      </w:r>
    </w:p>
    <w:p w:rsidR="00E561AB" w:rsidRPr="004F5F29" w:rsidRDefault="00E561AB" w:rsidP="00E561AB">
      <w:pPr>
        <w:tabs>
          <w:tab w:val="left" w:leader="dot" w:pos="7797"/>
          <w:tab w:val="decimal" w:pos="8789"/>
        </w:tabs>
        <w:rPr>
          <w:rFonts w:ascii="Arial" w:hAnsi="Arial" w:cs="Arial"/>
          <w:b/>
          <w:bCs/>
          <w:color w:val="000000" w:themeColor="text1"/>
        </w:rPr>
      </w:pPr>
    </w:p>
    <w:p w:rsidR="00E561AB" w:rsidRPr="006354EC" w:rsidRDefault="00E561AB" w:rsidP="00E561AB">
      <w:pPr>
        <w:tabs>
          <w:tab w:val="left" w:leader="dot" w:pos="7797"/>
          <w:tab w:val="decimal" w:pos="8789"/>
        </w:tabs>
        <w:rPr>
          <w:rFonts w:ascii="Arial" w:hAnsi="Arial" w:cs="Arial"/>
        </w:rPr>
      </w:pPr>
      <w:r w:rsidRPr="006354EC">
        <w:rPr>
          <w:rFonts w:ascii="Arial" w:hAnsi="Arial" w:cs="Arial"/>
          <w:b/>
          <w:bCs/>
        </w:rPr>
        <w:t>Witwen- und Witwerpensionen</w:t>
      </w:r>
      <w:r w:rsidRPr="006354EC">
        <w:rPr>
          <w:rFonts w:ascii="Arial" w:hAnsi="Arial" w:cs="Arial"/>
        </w:rPr>
        <w:tab/>
      </w:r>
      <w:r>
        <w:rPr>
          <w:rFonts w:ascii="Arial" w:hAnsi="Arial" w:cs="Arial"/>
        </w:rPr>
        <w:t>€</w:t>
      </w:r>
      <w:r>
        <w:rPr>
          <w:rFonts w:ascii="Arial" w:hAnsi="Arial" w:cs="Arial"/>
        </w:rPr>
        <w:tab/>
        <w:t>872,31</w:t>
      </w:r>
    </w:p>
    <w:p w:rsidR="00E561AB" w:rsidRPr="006354EC" w:rsidRDefault="00E561AB" w:rsidP="00E561AB">
      <w:pPr>
        <w:pStyle w:val="Kopfzeile"/>
        <w:tabs>
          <w:tab w:val="clear" w:pos="4536"/>
          <w:tab w:val="left" w:leader="dot" w:pos="7797"/>
          <w:tab w:val="decimal" w:pos="8789"/>
        </w:tabs>
        <w:rPr>
          <w:rFonts w:ascii="Arial" w:hAnsi="Arial" w:cs="Arial"/>
          <w:b/>
          <w:bCs/>
        </w:rPr>
      </w:pPr>
      <w:r w:rsidRPr="006354EC">
        <w:rPr>
          <w:rFonts w:ascii="Arial" w:hAnsi="Arial" w:cs="Arial"/>
          <w:b/>
          <w:bCs/>
        </w:rPr>
        <w:t>Waisenpensionen bis zum 24. Lebensjahr</w:t>
      </w:r>
    </w:p>
    <w:p w:rsidR="00E561AB" w:rsidRPr="006354EC" w:rsidRDefault="00E561AB" w:rsidP="00E561AB">
      <w:pPr>
        <w:tabs>
          <w:tab w:val="left" w:leader="dot" w:pos="7797"/>
          <w:tab w:val="decimal" w:pos="8789"/>
        </w:tabs>
        <w:rPr>
          <w:rFonts w:ascii="Arial" w:hAnsi="Arial" w:cs="Arial"/>
        </w:rPr>
      </w:pPr>
      <w:r w:rsidRPr="006354EC">
        <w:rPr>
          <w:rFonts w:ascii="Arial" w:hAnsi="Arial" w:cs="Arial"/>
        </w:rPr>
        <w:t>Halbwaisen</w:t>
      </w:r>
      <w:r w:rsidRPr="006354EC">
        <w:rPr>
          <w:rFonts w:ascii="Arial" w:hAnsi="Arial" w:cs="Arial"/>
        </w:rPr>
        <w:tab/>
      </w:r>
      <w:r>
        <w:rPr>
          <w:rFonts w:ascii="Arial" w:hAnsi="Arial" w:cs="Arial"/>
        </w:rPr>
        <w:t>€</w:t>
      </w:r>
      <w:r>
        <w:rPr>
          <w:rFonts w:ascii="Arial" w:hAnsi="Arial" w:cs="Arial"/>
        </w:rPr>
        <w:tab/>
        <w:t>320,84</w:t>
      </w:r>
    </w:p>
    <w:p w:rsidR="00E561AB" w:rsidRDefault="00E561AB" w:rsidP="00E561AB">
      <w:pPr>
        <w:tabs>
          <w:tab w:val="left" w:leader="dot" w:pos="7797"/>
          <w:tab w:val="decimal" w:pos="8789"/>
        </w:tabs>
        <w:rPr>
          <w:rFonts w:ascii="Arial" w:hAnsi="Arial" w:cs="Arial"/>
        </w:rPr>
      </w:pPr>
      <w:r w:rsidRPr="006354EC">
        <w:rPr>
          <w:rFonts w:ascii="Arial" w:hAnsi="Arial" w:cs="Arial"/>
        </w:rPr>
        <w:t>Vollwaisen</w:t>
      </w:r>
      <w:r w:rsidRPr="006354EC">
        <w:rPr>
          <w:rFonts w:ascii="Arial" w:hAnsi="Arial" w:cs="Arial"/>
        </w:rPr>
        <w:tab/>
      </w:r>
      <w:r>
        <w:rPr>
          <w:rFonts w:ascii="Arial" w:hAnsi="Arial" w:cs="Arial"/>
        </w:rPr>
        <w:t>€</w:t>
      </w:r>
      <w:r>
        <w:rPr>
          <w:rFonts w:ascii="Arial" w:hAnsi="Arial" w:cs="Arial"/>
        </w:rPr>
        <w:tab/>
        <w:t>481,75</w:t>
      </w:r>
    </w:p>
    <w:p w:rsidR="00E561AB" w:rsidRPr="006354EC" w:rsidRDefault="00E561AB" w:rsidP="00E561AB">
      <w:pPr>
        <w:tabs>
          <w:tab w:val="left" w:leader="dot" w:pos="7797"/>
          <w:tab w:val="decimal" w:pos="8789"/>
        </w:tabs>
        <w:rPr>
          <w:rFonts w:ascii="Arial" w:hAnsi="Arial" w:cs="Arial"/>
        </w:rPr>
      </w:pPr>
    </w:p>
    <w:p w:rsidR="00E561AB" w:rsidRPr="006354EC" w:rsidRDefault="00E561AB" w:rsidP="00E561AB">
      <w:pPr>
        <w:pStyle w:val="berschrift2"/>
        <w:tabs>
          <w:tab w:val="left" w:leader="dot" w:pos="7797"/>
          <w:tab w:val="decimal" w:pos="8789"/>
        </w:tabs>
        <w:rPr>
          <w:rFonts w:eastAsia="Arial Unicode MS" w:cs="Arial"/>
          <w:bCs/>
        </w:rPr>
      </w:pPr>
      <w:r w:rsidRPr="006354EC">
        <w:rPr>
          <w:rFonts w:cs="Arial"/>
          <w:bCs/>
        </w:rPr>
        <w:t>Waisenpensionen ab dem 24. Lebensjahr</w:t>
      </w:r>
    </w:p>
    <w:p w:rsidR="00E561AB" w:rsidRPr="006354EC" w:rsidRDefault="00E561AB" w:rsidP="00E561AB">
      <w:pPr>
        <w:tabs>
          <w:tab w:val="left" w:leader="dot" w:pos="7797"/>
          <w:tab w:val="decimal" w:pos="8789"/>
        </w:tabs>
        <w:rPr>
          <w:rFonts w:ascii="Arial" w:hAnsi="Arial" w:cs="Arial"/>
        </w:rPr>
      </w:pPr>
      <w:r w:rsidRPr="006354EC">
        <w:rPr>
          <w:rFonts w:ascii="Arial" w:hAnsi="Arial" w:cs="Arial"/>
        </w:rPr>
        <w:t>Halbwaisen</w:t>
      </w:r>
      <w:r w:rsidRPr="006354EC">
        <w:rPr>
          <w:rFonts w:ascii="Arial" w:hAnsi="Arial" w:cs="Arial"/>
        </w:rPr>
        <w:tab/>
      </w:r>
      <w:r>
        <w:rPr>
          <w:rFonts w:ascii="Arial" w:hAnsi="Arial" w:cs="Arial"/>
        </w:rPr>
        <w:t>€</w:t>
      </w:r>
      <w:r>
        <w:rPr>
          <w:rFonts w:ascii="Arial" w:hAnsi="Arial" w:cs="Arial"/>
        </w:rPr>
        <w:tab/>
        <w:t>570,14</w:t>
      </w: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Vollwaisen</w:t>
      </w:r>
      <w:r w:rsidRPr="006354EC">
        <w:rPr>
          <w:rFonts w:ascii="Arial" w:hAnsi="Arial" w:cs="Arial"/>
        </w:rPr>
        <w:tab/>
      </w:r>
      <w:r>
        <w:rPr>
          <w:rFonts w:ascii="Arial" w:hAnsi="Arial" w:cs="Arial"/>
        </w:rPr>
        <w:t>€</w:t>
      </w:r>
      <w:r>
        <w:rPr>
          <w:rFonts w:ascii="Arial" w:hAnsi="Arial" w:cs="Arial"/>
        </w:rPr>
        <w:tab/>
        <w:t>872,31</w:t>
      </w:r>
    </w:p>
    <w:p w:rsidR="00E561AB" w:rsidRPr="004F5F29" w:rsidRDefault="00E561AB" w:rsidP="00E561AB">
      <w:pPr>
        <w:tabs>
          <w:tab w:val="left" w:pos="7920"/>
          <w:tab w:val="decimal" w:pos="8820"/>
        </w:tabs>
        <w:rPr>
          <w:rFonts w:ascii="Arial" w:hAnsi="Arial" w:cs="Arial"/>
          <w:color w:val="000000" w:themeColor="text1"/>
        </w:rPr>
      </w:pPr>
    </w:p>
    <w:p w:rsidR="00E561AB" w:rsidRPr="006354EC" w:rsidRDefault="00E561AB" w:rsidP="00E561AB">
      <w:pPr>
        <w:pStyle w:val="berschrift2"/>
        <w:tabs>
          <w:tab w:val="left" w:pos="7920"/>
          <w:tab w:val="decimal" w:pos="8820"/>
        </w:tabs>
        <w:rPr>
          <w:rFonts w:eastAsia="Arial Unicode MS" w:cs="Arial"/>
        </w:rPr>
      </w:pPr>
      <w:r w:rsidRPr="006354EC">
        <w:rPr>
          <w:rFonts w:cs="Arial"/>
        </w:rPr>
        <w:t>Höchstbeitragsgrundlage</w:t>
      </w: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 xml:space="preserve">Für den Bereich des Allgemeinen Sozialversicherungsgesetzes (ASVG) </w:t>
      </w: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monatlich</w:t>
      </w:r>
      <w:r w:rsidRPr="006354EC">
        <w:rPr>
          <w:rFonts w:ascii="Arial" w:hAnsi="Arial" w:cs="Arial"/>
        </w:rPr>
        <w:tab/>
      </w:r>
      <w:r>
        <w:rPr>
          <w:rFonts w:ascii="Arial" w:hAnsi="Arial" w:cs="Arial"/>
        </w:rPr>
        <w:t>€</w:t>
      </w:r>
      <w:r>
        <w:rPr>
          <w:rFonts w:ascii="Arial" w:hAnsi="Arial" w:cs="Arial"/>
        </w:rPr>
        <w:tab/>
        <w:t>4.650,--</w:t>
      </w: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Für Sonderzahlungen jährlich.</w:t>
      </w:r>
      <w:r w:rsidRPr="006354EC">
        <w:rPr>
          <w:rFonts w:ascii="Arial" w:hAnsi="Arial" w:cs="Arial"/>
        </w:rPr>
        <w:tab/>
      </w:r>
      <w:r>
        <w:rPr>
          <w:rFonts w:ascii="Arial" w:hAnsi="Arial" w:cs="Arial"/>
        </w:rPr>
        <w:t>€</w:t>
      </w:r>
      <w:r>
        <w:rPr>
          <w:rFonts w:ascii="Arial" w:hAnsi="Arial" w:cs="Arial"/>
        </w:rPr>
        <w:tab/>
        <w:t>9.300,--</w:t>
      </w:r>
      <w:r w:rsidRPr="006354EC">
        <w:rPr>
          <w:rFonts w:ascii="Arial" w:hAnsi="Arial" w:cs="Arial"/>
        </w:rPr>
        <w:t xml:space="preserve"> </w:t>
      </w:r>
    </w:p>
    <w:p w:rsidR="00E561AB" w:rsidRPr="006354EC" w:rsidRDefault="00E561AB" w:rsidP="00E561AB">
      <w:pPr>
        <w:pStyle w:val="Kopfzeile"/>
        <w:tabs>
          <w:tab w:val="clear" w:pos="4536"/>
          <w:tab w:val="clear" w:pos="9072"/>
          <w:tab w:val="left" w:leader="dot" w:pos="7797"/>
          <w:tab w:val="decimal" w:pos="8820"/>
        </w:tabs>
        <w:rPr>
          <w:rFonts w:ascii="Arial" w:hAnsi="Arial" w:cs="Arial"/>
        </w:rPr>
      </w:pPr>
      <w:r w:rsidRPr="006354EC">
        <w:rPr>
          <w:rFonts w:ascii="Arial" w:hAnsi="Arial" w:cs="Arial"/>
        </w:rPr>
        <w:t xml:space="preserve">Für den Bereich des Gewerblichen Sozialversicherungsgesetzes (GSVG) </w:t>
      </w: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und des Bauern-Sozialversicherungsgesetzes (BSVG) monatlich</w:t>
      </w:r>
      <w:r w:rsidRPr="006354EC">
        <w:rPr>
          <w:rFonts w:ascii="Arial" w:hAnsi="Arial" w:cs="Arial"/>
        </w:rPr>
        <w:tab/>
      </w:r>
      <w:r>
        <w:rPr>
          <w:rFonts w:ascii="Arial" w:hAnsi="Arial" w:cs="Arial"/>
        </w:rPr>
        <w:t>€</w:t>
      </w:r>
      <w:r>
        <w:rPr>
          <w:rFonts w:ascii="Arial" w:hAnsi="Arial" w:cs="Arial"/>
        </w:rPr>
        <w:tab/>
        <w:t>5.425,--</w:t>
      </w:r>
    </w:p>
    <w:p w:rsidR="00E561AB" w:rsidRPr="004F5F29" w:rsidRDefault="00E561AB" w:rsidP="00E561AB">
      <w:pPr>
        <w:pStyle w:val="Kopfzeile"/>
        <w:tabs>
          <w:tab w:val="clear" w:pos="4536"/>
          <w:tab w:val="clear" w:pos="9072"/>
          <w:tab w:val="left" w:pos="7920"/>
          <w:tab w:val="decimal" w:pos="8820"/>
        </w:tabs>
        <w:rPr>
          <w:rFonts w:ascii="Arial" w:hAnsi="Arial" w:cs="Arial"/>
          <w:color w:val="000000" w:themeColor="text1"/>
        </w:rPr>
      </w:pPr>
      <w:r w:rsidRPr="004F5F29">
        <w:rPr>
          <w:rFonts w:ascii="Arial" w:hAnsi="Arial" w:cs="Arial"/>
          <w:color w:val="000000" w:themeColor="text1"/>
        </w:rPr>
        <w:tab/>
      </w:r>
    </w:p>
    <w:p w:rsidR="00E561AB" w:rsidRPr="006354EC" w:rsidRDefault="00E561AB" w:rsidP="00E561AB">
      <w:pPr>
        <w:tabs>
          <w:tab w:val="left" w:pos="7920"/>
          <w:tab w:val="decimal" w:pos="8820"/>
        </w:tabs>
        <w:rPr>
          <w:rFonts w:ascii="Arial" w:hAnsi="Arial" w:cs="Arial"/>
          <w:b/>
        </w:rPr>
      </w:pPr>
      <w:r w:rsidRPr="006354EC">
        <w:rPr>
          <w:rFonts w:ascii="Arial" w:hAnsi="Arial" w:cs="Arial"/>
          <w:b/>
        </w:rPr>
        <w:lastRenderedPageBreak/>
        <w:t xml:space="preserve">Geringfügigkeitsgrenze </w:t>
      </w:r>
    </w:p>
    <w:p w:rsidR="00E561AB" w:rsidRPr="006354EC" w:rsidRDefault="00E561AB" w:rsidP="00E561AB">
      <w:pPr>
        <w:pStyle w:val="Kopfzeile"/>
        <w:tabs>
          <w:tab w:val="clear" w:pos="4536"/>
          <w:tab w:val="left" w:pos="7920"/>
          <w:tab w:val="decimal" w:pos="8820"/>
        </w:tabs>
        <w:rPr>
          <w:rFonts w:ascii="Arial" w:hAnsi="Arial" w:cs="Arial"/>
        </w:rPr>
      </w:pPr>
      <w:r w:rsidRPr="006354EC">
        <w:rPr>
          <w:rFonts w:ascii="Arial" w:hAnsi="Arial" w:cs="Arial"/>
        </w:rPr>
        <w:t>Für ASVG Versicherte</w:t>
      </w: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 xml:space="preserve">monatlich </w:t>
      </w:r>
      <w:r>
        <w:rPr>
          <w:rFonts w:ascii="Arial" w:hAnsi="Arial" w:cs="Arial"/>
        </w:rPr>
        <w:tab/>
        <w:t>€</w:t>
      </w:r>
      <w:r>
        <w:rPr>
          <w:rFonts w:ascii="Arial" w:hAnsi="Arial" w:cs="Arial"/>
        </w:rPr>
        <w:tab/>
        <w:t>405,98</w:t>
      </w: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 xml:space="preserve">täglich </w:t>
      </w:r>
      <w:r>
        <w:rPr>
          <w:rFonts w:ascii="Arial" w:hAnsi="Arial" w:cs="Arial"/>
        </w:rPr>
        <w:tab/>
        <w:t>€</w:t>
      </w:r>
      <w:r>
        <w:rPr>
          <w:rFonts w:ascii="Arial" w:hAnsi="Arial" w:cs="Arial"/>
        </w:rPr>
        <w:tab/>
        <w:t>31,17</w:t>
      </w:r>
    </w:p>
    <w:p w:rsidR="00E561AB" w:rsidRPr="006354EC" w:rsidRDefault="00E561AB" w:rsidP="00E561AB">
      <w:pPr>
        <w:pStyle w:val="Kopfzeile"/>
        <w:tabs>
          <w:tab w:val="clear" w:pos="4536"/>
          <w:tab w:val="clear" w:pos="9072"/>
          <w:tab w:val="left" w:leader="dot" w:pos="7797"/>
          <w:tab w:val="decimal" w:pos="8820"/>
        </w:tabs>
        <w:rPr>
          <w:rFonts w:ascii="Arial" w:hAnsi="Arial" w:cs="Arial"/>
        </w:rPr>
      </w:pPr>
    </w:p>
    <w:p w:rsidR="00E561AB" w:rsidRPr="006354EC" w:rsidRDefault="00E561AB" w:rsidP="00E561AB">
      <w:pPr>
        <w:pStyle w:val="Kopfzeile"/>
        <w:tabs>
          <w:tab w:val="clear" w:pos="4536"/>
          <w:tab w:val="clear" w:pos="9072"/>
          <w:tab w:val="left" w:leader="dot" w:pos="7797"/>
          <w:tab w:val="decimal" w:pos="8789"/>
        </w:tabs>
        <w:rPr>
          <w:rFonts w:ascii="Arial" w:hAnsi="Arial" w:cs="Arial"/>
        </w:rPr>
      </w:pPr>
      <w:r w:rsidRPr="006354EC">
        <w:rPr>
          <w:rFonts w:ascii="Arial" w:hAnsi="Arial" w:cs="Arial"/>
        </w:rPr>
        <w:t>für nebenberuflich neue Selbst</w:t>
      </w:r>
      <w:r>
        <w:rPr>
          <w:rFonts w:ascii="Arial" w:hAnsi="Arial" w:cs="Arial"/>
        </w:rPr>
        <w:t>st</w:t>
      </w:r>
      <w:r w:rsidRPr="006354EC">
        <w:rPr>
          <w:rFonts w:ascii="Arial" w:hAnsi="Arial" w:cs="Arial"/>
        </w:rPr>
        <w:t xml:space="preserve">ändige nach dem GSVG </w:t>
      </w:r>
      <w:r>
        <w:rPr>
          <w:rFonts w:ascii="Arial" w:hAnsi="Arial" w:cs="Arial"/>
        </w:rPr>
        <w:tab/>
        <w:t>€</w:t>
      </w:r>
      <w:r>
        <w:rPr>
          <w:rFonts w:ascii="Arial" w:hAnsi="Arial" w:cs="Arial"/>
        </w:rPr>
        <w:tab/>
        <w:t>405,98</w:t>
      </w:r>
    </w:p>
    <w:p w:rsidR="00E561AB" w:rsidRDefault="00E561AB" w:rsidP="00E561AB">
      <w:pPr>
        <w:pStyle w:val="Kopfzeile"/>
        <w:tabs>
          <w:tab w:val="clear" w:pos="4536"/>
          <w:tab w:val="clear" w:pos="9072"/>
          <w:tab w:val="left" w:leader="dot" w:pos="7797"/>
          <w:tab w:val="decimal" w:pos="8789"/>
        </w:tabs>
      </w:pPr>
      <w:r w:rsidRPr="006354EC">
        <w:rPr>
          <w:rFonts w:ascii="Arial" w:hAnsi="Arial" w:cs="Arial"/>
        </w:rPr>
        <w:t xml:space="preserve">für hauptberuflich neue Selbstständige nach dem GSVG </w:t>
      </w:r>
      <w:r>
        <w:rPr>
          <w:rFonts w:ascii="Arial" w:hAnsi="Arial" w:cs="Arial"/>
        </w:rPr>
        <w:tab/>
        <w:t>€</w:t>
      </w:r>
      <w:r>
        <w:rPr>
          <w:rFonts w:ascii="Arial" w:hAnsi="Arial" w:cs="Arial"/>
        </w:rPr>
        <w:tab/>
        <w:t>537,78</w:t>
      </w:r>
    </w:p>
    <w:p w:rsidR="003D76FE" w:rsidRDefault="003D76FE"/>
    <w:p w:rsidR="00E561AB" w:rsidRDefault="00E561AB"/>
    <w:p w:rsidR="00E561AB" w:rsidRPr="00F851F9" w:rsidRDefault="00E561AB" w:rsidP="00E561AB">
      <w:pPr>
        <w:outlineLvl w:val="1"/>
        <w:rPr>
          <w:rFonts w:ascii="Arial" w:hAnsi="Arial" w:cs="Arial"/>
          <w:b/>
          <w:bCs/>
        </w:rPr>
      </w:pPr>
    </w:p>
    <w:p w:rsidR="00E561AB" w:rsidRPr="0043200A" w:rsidRDefault="00E561AB" w:rsidP="0043200A">
      <w:pPr>
        <w:pStyle w:val="Listenabsatz"/>
        <w:numPr>
          <w:ilvl w:val="0"/>
          <w:numId w:val="7"/>
        </w:numPr>
        <w:outlineLvl w:val="1"/>
        <w:rPr>
          <w:rFonts w:ascii="Arial" w:hAnsi="Arial" w:cs="Arial"/>
          <w:b/>
          <w:bCs/>
          <w:sz w:val="28"/>
          <w:szCs w:val="28"/>
        </w:rPr>
      </w:pPr>
      <w:r w:rsidRPr="0043200A">
        <w:rPr>
          <w:rFonts w:ascii="Arial" w:hAnsi="Arial" w:cs="Arial"/>
          <w:b/>
          <w:bCs/>
          <w:sz w:val="28"/>
          <w:szCs w:val="28"/>
        </w:rPr>
        <w:t>Rezeptgebühr</w:t>
      </w:r>
    </w:p>
    <w:p w:rsidR="00E561AB" w:rsidRDefault="00E561AB" w:rsidP="00E561AB">
      <w:pPr>
        <w:rPr>
          <w:rFonts w:ascii="Arial" w:hAnsi="Arial" w:cs="Arial"/>
        </w:rPr>
      </w:pPr>
    </w:p>
    <w:p w:rsidR="00E561AB" w:rsidRDefault="00E561AB" w:rsidP="0043200A">
      <w:pPr>
        <w:jc w:val="both"/>
        <w:rPr>
          <w:rFonts w:ascii="Arial" w:hAnsi="Arial" w:cs="Arial"/>
        </w:rPr>
      </w:pPr>
      <w:r w:rsidRPr="00F851F9">
        <w:rPr>
          <w:rFonts w:ascii="Arial" w:hAnsi="Arial" w:cs="Arial"/>
        </w:rPr>
        <w:t>Die Rezeptgebühr wird um 0,1</w:t>
      </w:r>
      <w:r>
        <w:rPr>
          <w:rFonts w:ascii="Arial" w:hAnsi="Arial" w:cs="Arial"/>
        </w:rPr>
        <w:t>5</w:t>
      </w:r>
      <w:r w:rsidRPr="00F851F9">
        <w:rPr>
          <w:rFonts w:ascii="Arial" w:hAnsi="Arial" w:cs="Arial"/>
        </w:rPr>
        <w:t xml:space="preserve"> Euro auf </w:t>
      </w:r>
      <w:r w:rsidRPr="00F851F9">
        <w:rPr>
          <w:rFonts w:ascii="Arial" w:hAnsi="Arial" w:cs="Arial"/>
          <w:b/>
          <w:bCs/>
        </w:rPr>
        <w:t>5,</w:t>
      </w:r>
      <w:r>
        <w:rPr>
          <w:rFonts w:ascii="Arial" w:hAnsi="Arial" w:cs="Arial"/>
          <w:b/>
          <w:bCs/>
        </w:rPr>
        <w:t>55</w:t>
      </w:r>
      <w:r w:rsidRPr="00F851F9">
        <w:rPr>
          <w:rFonts w:ascii="Arial" w:hAnsi="Arial" w:cs="Arial"/>
          <w:b/>
          <w:bCs/>
        </w:rPr>
        <w:t xml:space="preserve"> Euro</w:t>
      </w:r>
      <w:r w:rsidRPr="00F851F9">
        <w:rPr>
          <w:rFonts w:ascii="Arial" w:hAnsi="Arial" w:cs="Arial"/>
        </w:rPr>
        <w:t xml:space="preserve"> erhöht.</w:t>
      </w:r>
    </w:p>
    <w:p w:rsidR="00E561AB" w:rsidRDefault="00E561AB" w:rsidP="0043200A">
      <w:pPr>
        <w:jc w:val="both"/>
        <w:rPr>
          <w:rFonts w:ascii="Arial" w:hAnsi="Arial" w:cs="Arial"/>
        </w:rPr>
      </w:pPr>
      <w:r w:rsidRPr="00F851F9">
        <w:rPr>
          <w:rFonts w:ascii="Arial" w:hAnsi="Arial" w:cs="Arial"/>
        </w:rPr>
        <w:t xml:space="preserve">Die </w:t>
      </w:r>
      <w:r w:rsidRPr="00F851F9">
        <w:rPr>
          <w:rFonts w:ascii="Arial" w:hAnsi="Arial" w:cs="Arial"/>
          <w:b/>
          <w:bCs/>
        </w:rPr>
        <w:t>Befreiung</w:t>
      </w:r>
      <w:r w:rsidRPr="00F851F9">
        <w:rPr>
          <w:rFonts w:ascii="Arial" w:hAnsi="Arial" w:cs="Arial"/>
        </w:rPr>
        <w:t xml:space="preserve"> von der Rezeptgebühr gebührt Alleinstehenden mit einem Einkommen bis </w:t>
      </w:r>
      <w:r>
        <w:rPr>
          <w:rFonts w:ascii="Arial" w:hAnsi="Arial" w:cs="Arial"/>
        </w:rPr>
        <w:t xml:space="preserve">€ 872,31 </w:t>
      </w:r>
      <w:r w:rsidRPr="00F851F9">
        <w:rPr>
          <w:rFonts w:ascii="Arial" w:hAnsi="Arial" w:cs="Arial"/>
        </w:rPr>
        <w:t xml:space="preserve">und Ehepaaren mit einem Einkommen bis </w:t>
      </w:r>
      <w:r>
        <w:rPr>
          <w:rFonts w:ascii="Arial" w:hAnsi="Arial" w:cs="Arial"/>
        </w:rPr>
        <w:t>€</w:t>
      </w:r>
      <w:r w:rsidRPr="00F851F9">
        <w:rPr>
          <w:rFonts w:ascii="Arial" w:hAnsi="Arial" w:cs="Arial"/>
        </w:rPr>
        <w:t xml:space="preserve"> </w:t>
      </w:r>
      <w:r>
        <w:rPr>
          <w:rFonts w:ascii="Arial" w:hAnsi="Arial" w:cs="Arial"/>
        </w:rPr>
        <w:t xml:space="preserve">1.307,89 </w:t>
      </w:r>
      <w:r w:rsidRPr="00F851F9">
        <w:rPr>
          <w:rFonts w:ascii="Arial" w:hAnsi="Arial" w:cs="Arial"/>
        </w:rPr>
        <w:t>monatlich.</w:t>
      </w:r>
    </w:p>
    <w:p w:rsidR="00E561AB" w:rsidRDefault="00E561AB" w:rsidP="0043200A">
      <w:pPr>
        <w:jc w:val="both"/>
        <w:rPr>
          <w:rFonts w:ascii="Arial" w:hAnsi="Arial" w:cs="Arial"/>
        </w:rPr>
      </w:pPr>
      <w:r w:rsidRPr="00F851F9">
        <w:rPr>
          <w:rFonts w:ascii="Arial" w:hAnsi="Arial" w:cs="Arial"/>
        </w:rPr>
        <w:t xml:space="preserve">Chronisch Kranke sind von der Rezeptgebühr befreit, wenn sie als Alleinstehende ein Einkommen von höchstens </w:t>
      </w:r>
      <w:r>
        <w:rPr>
          <w:rFonts w:ascii="Arial" w:hAnsi="Arial" w:cs="Arial"/>
        </w:rPr>
        <w:t>€</w:t>
      </w:r>
      <w:r w:rsidRPr="00F851F9">
        <w:rPr>
          <w:rFonts w:ascii="Arial" w:hAnsi="Arial" w:cs="Arial"/>
        </w:rPr>
        <w:t xml:space="preserve"> </w:t>
      </w:r>
      <w:r>
        <w:rPr>
          <w:rFonts w:ascii="Arial" w:hAnsi="Arial" w:cs="Arial"/>
        </w:rPr>
        <w:t>1.003,16</w:t>
      </w:r>
      <w:r w:rsidRPr="00F851F9">
        <w:rPr>
          <w:rFonts w:ascii="Arial" w:hAnsi="Arial" w:cs="Arial"/>
        </w:rPr>
        <w:t xml:space="preserve"> Euro und als Ehepaare von höchstens </w:t>
      </w:r>
      <w:r>
        <w:rPr>
          <w:rFonts w:ascii="Arial" w:hAnsi="Arial" w:cs="Arial"/>
        </w:rPr>
        <w:t>€ 1.504,07</w:t>
      </w:r>
      <w:r w:rsidRPr="00F851F9">
        <w:rPr>
          <w:rFonts w:ascii="Arial" w:hAnsi="Arial" w:cs="Arial"/>
        </w:rPr>
        <w:t xml:space="preserve"> monatlich haben. </w:t>
      </w:r>
    </w:p>
    <w:p w:rsidR="00E561AB" w:rsidRDefault="00E561AB" w:rsidP="0043200A">
      <w:pPr>
        <w:jc w:val="both"/>
        <w:rPr>
          <w:rFonts w:ascii="Arial" w:hAnsi="Arial" w:cs="Arial"/>
        </w:rPr>
      </w:pPr>
      <w:r w:rsidRPr="00F851F9">
        <w:rPr>
          <w:rFonts w:ascii="Arial" w:hAnsi="Arial" w:cs="Arial"/>
        </w:rPr>
        <w:t xml:space="preserve">Diese Einkommensgrenzen erhöhen sich pro </w:t>
      </w:r>
      <w:proofErr w:type="gramStart"/>
      <w:r w:rsidRPr="00F851F9">
        <w:rPr>
          <w:rFonts w:ascii="Arial" w:hAnsi="Arial" w:cs="Arial"/>
        </w:rPr>
        <w:t>unterhaltsberechtigtem</w:t>
      </w:r>
      <w:proofErr w:type="gramEnd"/>
      <w:r w:rsidRPr="00F851F9">
        <w:rPr>
          <w:rFonts w:ascii="Arial" w:hAnsi="Arial" w:cs="Arial"/>
        </w:rPr>
        <w:t xml:space="preserve"> Kind um </w:t>
      </w:r>
      <w:r>
        <w:rPr>
          <w:rFonts w:ascii="Arial" w:hAnsi="Arial" w:cs="Arial"/>
        </w:rPr>
        <w:t>€ 134,59</w:t>
      </w:r>
      <w:r w:rsidRPr="00F851F9">
        <w:rPr>
          <w:rFonts w:ascii="Arial" w:hAnsi="Arial" w:cs="Arial"/>
        </w:rPr>
        <w:t xml:space="preserve">. </w:t>
      </w:r>
    </w:p>
    <w:p w:rsidR="00E561AB" w:rsidRDefault="00E561AB" w:rsidP="0043200A">
      <w:pPr>
        <w:jc w:val="both"/>
        <w:rPr>
          <w:rFonts w:ascii="Arial" w:hAnsi="Arial" w:cs="Arial"/>
        </w:rPr>
      </w:pPr>
      <w:r w:rsidRPr="00F851F9">
        <w:rPr>
          <w:rFonts w:ascii="Arial" w:hAnsi="Arial" w:cs="Arial"/>
        </w:rPr>
        <w:t>Wenn ein Ausgedinge vorliegt (z.B. bei übergebener Landwirtschaft), sind die Einkommensgrenzen um 25 % bzw. 10% (bei erhöhtem Medikamentenbedarf) zu vermindern.</w:t>
      </w:r>
    </w:p>
    <w:p w:rsidR="00E561AB" w:rsidRPr="00F851F9" w:rsidRDefault="00E561AB" w:rsidP="0043200A">
      <w:pPr>
        <w:pStyle w:val="Textkrper"/>
        <w:tabs>
          <w:tab w:val="left" w:pos="4950"/>
          <w:tab w:val="left" w:pos="6300"/>
          <w:tab w:val="left" w:pos="7560"/>
        </w:tabs>
      </w:pPr>
      <w:r w:rsidRPr="00F851F9">
        <w:t>Das Einkommen von im gemeinsamen Haushalt lebenden Personen wird angerechnet (Ehegatte oder Lebensgefährte voll, von allen anderen Personen lediglich 12,5 Prozent).</w:t>
      </w:r>
    </w:p>
    <w:p w:rsidR="00E561AB" w:rsidRPr="00F851F9" w:rsidRDefault="00E561AB" w:rsidP="00E561AB">
      <w:pPr>
        <w:pStyle w:val="berschrift1"/>
        <w:rPr>
          <w:sz w:val="24"/>
        </w:rPr>
      </w:pPr>
    </w:p>
    <w:p w:rsidR="00E561AB" w:rsidRPr="0043200A" w:rsidRDefault="00E561AB" w:rsidP="0043200A">
      <w:pPr>
        <w:pStyle w:val="berschrift1"/>
        <w:numPr>
          <w:ilvl w:val="0"/>
          <w:numId w:val="8"/>
        </w:numPr>
        <w:rPr>
          <w:szCs w:val="28"/>
        </w:rPr>
      </w:pPr>
      <w:r w:rsidRPr="0043200A">
        <w:rPr>
          <w:szCs w:val="28"/>
        </w:rPr>
        <w:t>Heilbehelfe – Kostenanteil</w:t>
      </w:r>
    </w:p>
    <w:p w:rsidR="00E561AB" w:rsidRPr="00874F29" w:rsidRDefault="00E561AB" w:rsidP="00E561AB"/>
    <w:p w:rsidR="00E561AB" w:rsidRPr="00F851F9" w:rsidRDefault="00E561AB" w:rsidP="0043200A">
      <w:pPr>
        <w:jc w:val="both"/>
        <w:rPr>
          <w:rFonts w:ascii="Arial" w:hAnsi="Arial" w:cs="Arial"/>
        </w:rPr>
      </w:pPr>
      <w:r w:rsidRPr="00F851F9">
        <w:rPr>
          <w:rFonts w:ascii="Arial" w:hAnsi="Arial" w:cs="Arial"/>
        </w:rPr>
        <w:t xml:space="preserve">Der Kostenanteil des Versicherten beträgt bei Heilbehelfen und Hilfsmitteln mindestens </w:t>
      </w:r>
      <w:r>
        <w:rPr>
          <w:rFonts w:ascii="Arial" w:hAnsi="Arial" w:cs="Arial"/>
        </w:rPr>
        <w:t>€ 31,--</w:t>
      </w:r>
      <w:r w:rsidRPr="00F851F9">
        <w:rPr>
          <w:rFonts w:ascii="Arial" w:hAnsi="Arial" w:cs="Arial"/>
        </w:rPr>
        <w:t xml:space="preserve"> und bei Sehbehelfen mindestens </w:t>
      </w:r>
      <w:r>
        <w:rPr>
          <w:rFonts w:ascii="Arial" w:hAnsi="Arial" w:cs="Arial"/>
        </w:rPr>
        <w:t>€ 93,--</w:t>
      </w:r>
      <w:r w:rsidRPr="00F851F9">
        <w:rPr>
          <w:rFonts w:ascii="Arial" w:hAnsi="Arial" w:cs="Arial"/>
        </w:rPr>
        <w:t>. Für Kinder, die das 15. Lebensjahr noch nicht vollendet haben und schwerstbehinderte Kinder sowie für Personen, die wegen besonderer sozialer Schutzbedürftigkeit von der Rezeptgebühr befreit sind, gibt es keine Kostenbeteiligung.</w:t>
      </w:r>
    </w:p>
    <w:p w:rsidR="00E561AB" w:rsidRPr="00F851F9" w:rsidRDefault="00E561AB" w:rsidP="00E561AB">
      <w:pPr>
        <w:rPr>
          <w:rFonts w:ascii="Arial" w:hAnsi="Arial" w:cs="Arial"/>
        </w:rPr>
      </w:pPr>
    </w:p>
    <w:p w:rsidR="00E561AB" w:rsidRPr="0043200A" w:rsidRDefault="00E561AB" w:rsidP="0043200A">
      <w:pPr>
        <w:pStyle w:val="Listenabsatz"/>
        <w:numPr>
          <w:ilvl w:val="0"/>
          <w:numId w:val="9"/>
        </w:numPr>
        <w:outlineLvl w:val="1"/>
        <w:rPr>
          <w:rFonts w:ascii="Arial" w:hAnsi="Arial" w:cs="Arial"/>
          <w:b/>
          <w:bCs/>
          <w:sz w:val="28"/>
          <w:szCs w:val="28"/>
        </w:rPr>
      </w:pPr>
      <w:r w:rsidRPr="0043200A">
        <w:rPr>
          <w:rFonts w:ascii="Arial" w:hAnsi="Arial" w:cs="Arial"/>
          <w:b/>
          <w:bCs/>
          <w:sz w:val="28"/>
          <w:szCs w:val="28"/>
        </w:rPr>
        <w:t>Zuzahlungen bei Rehabilitations- und Kuraufenthalten</w:t>
      </w:r>
    </w:p>
    <w:p w:rsidR="00E561AB" w:rsidRPr="00F851F9" w:rsidRDefault="00E561AB" w:rsidP="0043200A">
      <w:pPr>
        <w:jc w:val="both"/>
        <w:rPr>
          <w:rFonts w:ascii="Arial" w:hAnsi="Arial" w:cs="Arial"/>
        </w:rPr>
      </w:pPr>
      <w:r w:rsidRPr="00F851F9">
        <w:rPr>
          <w:rFonts w:ascii="Arial" w:hAnsi="Arial" w:cs="Arial"/>
        </w:rPr>
        <w:t xml:space="preserve">Die Zuzahlungen bei Maßnahmen der Rehabilitation und bei Maßnahmen der Festigung der Gesundheit und der Gesundheitsvorsorge in der Kranken- und Pensionsversicherung sind nach der Einkommenshöhe wie folgt </w:t>
      </w:r>
      <w:r w:rsidRPr="00F851F9">
        <w:rPr>
          <w:rFonts w:ascii="Arial" w:hAnsi="Arial" w:cs="Arial"/>
          <w:bCs/>
        </w:rPr>
        <w:t>gestaffelt</w:t>
      </w:r>
      <w:r w:rsidRPr="00F851F9">
        <w:rPr>
          <w:rFonts w:ascii="Arial" w:hAnsi="Arial" w:cs="Arial"/>
        </w:rPr>
        <w:t>:</w:t>
      </w:r>
    </w:p>
    <w:p w:rsidR="00E561AB" w:rsidRPr="00F851F9" w:rsidRDefault="00E561AB" w:rsidP="0043200A">
      <w:pPr>
        <w:jc w:val="both"/>
        <w:rPr>
          <w:rFonts w:ascii="Arial" w:hAnsi="Arial" w:cs="Arial"/>
        </w:rPr>
      </w:pPr>
      <w:r>
        <w:rPr>
          <w:rFonts w:ascii="Arial" w:hAnsi="Arial" w:cs="Arial"/>
        </w:rPr>
        <w:t>€ 7,60</w:t>
      </w:r>
      <w:r w:rsidRPr="00F851F9">
        <w:rPr>
          <w:rFonts w:ascii="Arial" w:hAnsi="Arial" w:cs="Arial"/>
        </w:rPr>
        <w:t xml:space="preserve"> täglich, bei einem monatlichen Bruttoeinkommen von  </w:t>
      </w:r>
      <w:r>
        <w:rPr>
          <w:rFonts w:ascii="Arial" w:hAnsi="Arial" w:cs="Arial"/>
        </w:rPr>
        <w:t>€ 872,32</w:t>
      </w:r>
      <w:r w:rsidRPr="00F851F9">
        <w:rPr>
          <w:rFonts w:ascii="Arial" w:hAnsi="Arial" w:cs="Arial"/>
        </w:rPr>
        <w:t xml:space="preserve"> bis </w:t>
      </w:r>
      <w:r>
        <w:rPr>
          <w:rFonts w:ascii="Arial" w:hAnsi="Arial" w:cs="Arial"/>
        </w:rPr>
        <w:t>€ 1.453,69</w:t>
      </w:r>
      <w:r w:rsidRPr="00F851F9">
        <w:rPr>
          <w:rFonts w:ascii="Arial" w:hAnsi="Arial" w:cs="Arial"/>
        </w:rPr>
        <w:t xml:space="preserve"> </w:t>
      </w:r>
    </w:p>
    <w:p w:rsidR="00E561AB" w:rsidRPr="00F851F9" w:rsidRDefault="00E561AB" w:rsidP="0043200A">
      <w:pPr>
        <w:jc w:val="both"/>
        <w:rPr>
          <w:rFonts w:ascii="Arial" w:hAnsi="Arial" w:cs="Arial"/>
        </w:rPr>
      </w:pPr>
      <w:r>
        <w:rPr>
          <w:rFonts w:ascii="Arial" w:hAnsi="Arial" w:cs="Arial"/>
        </w:rPr>
        <w:t>€ 13,02</w:t>
      </w:r>
      <w:r w:rsidRPr="00F851F9">
        <w:rPr>
          <w:rFonts w:ascii="Arial" w:hAnsi="Arial" w:cs="Arial"/>
        </w:rPr>
        <w:t xml:space="preserve"> täglich, bei einem monatlichen Bruttoeinkommen von  </w:t>
      </w:r>
      <w:r>
        <w:rPr>
          <w:rFonts w:ascii="Arial" w:hAnsi="Arial" w:cs="Arial"/>
        </w:rPr>
        <w:t>€ 1.453,70</w:t>
      </w:r>
      <w:r w:rsidRPr="00F851F9">
        <w:rPr>
          <w:rFonts w:ascii="Arial" w:hAnsi="Arial" w:cs="Arial"/>
        </w:rPr>
        <w:t xml:space="preserve"> bis </w:t>
      </w:r>
      <w:r>
        <w:rPr>
          <w:rFonts w:ascii="Arial" w:hAnsi="Arial" w:cs="Arial"/>
        </w:rPr>
        <w:t>€ 2.035,08</w:t>
      </w:r>
    </w:p>
    <w:p w:rsidR="00E561AB" w:rsidRPr="00F851F9" w:rsidRDefault="00E561AB" w:rsidP="0043200A">
      <w:pPr>
        <w:jc w:val="both"/>
        <w:rPr>
          <w:rFonts w:ascii="Arial" w:hAnsi="Arial" w:cs="Arial"/>
        </w:rPr>
      </w:pPr>
      <w:r>
        <w:rPr>
          <w:rFonts w:ascii="Arial" w:hAnsi="Arial" w:cs="Arial"/>
        </w:rPr>
        <w:t>€ 18,46</w:t>
      </w:r>
      <w:r w:rsidRPr="00F851F9">
        <w:rPr>
          <w:rFonts w:ascii="Arial" w:hAnsi="Arial" w:cs="Arial"/>
        </w:rPr>
        <w:t xml:space="preserve"> täglich, bei einem monatlichen Bruttoeinkommen über </w:t>
      </w:r>
      <w:r>
        <w:rPr>
          <w:rFonts w:ascii="Arial" w:hAnsi="Arial" w:cs="Arial"/>
        </w:rPr>
        <w:t>€ 2.035,08</w:t>
      </w:r>
    </w:p>
    <w:p w:rsidR="00E561AB" w:rsidRPr="00F851F9" w:rsidRDefault="00E561AB" w:rsidP="0043200A">
      <w:pPr>
        <w:tabs>
          <w:tab w:val="num" w:pos="284"/>
        </w:tabs>
        <w:jc w:val="both"/>
        <w:rPr>
          <w:rFonts w:ascii="Arial" w:hAnsi="Arial" w:cs="Arial"/>
        </w:rPr>
      </w:pPr>
    </w:p>
    <w:p w:rsidR="00E561AB" w:rsidRPr="00F851F9" w:rsidRDefault="00E561AB" w:rsidP="0043200A">
      <w:pPr>
        <w:jc w:val="both"/>
        <w:rPr>
          <w:rFonts w:ascii="Arial" w:hAnsi="Arial" w:cs="Arial"/>
        </w:rPr>
      </w:pPr>
      <w:r w:rsidRPr="00F851F9">
        <w:rPr>
          <w:rFonts w:ascii="Arial" w:hAnsi="Arial" w:cs="Arial"/>
        </w:rPr>
        <w:t xml:space="preserve">Bei besonderer sozialer Schutzbedürftigkeit (monatliches Bruttoeinkommen unter  </w:t>
      </w:r>
      <w:r>
        <w:rPr>
          <w:rFonts w:ascii="Arial" w:hAnsi="Arial" w:cs="Arial"/>
        </w:rPr>
        <w:t>€ 872,31</w:t>
      </w:r>
      <w:r w:rsidRPr="00F851F9">
        <w:rPr>
          <w:rFonts w:ascii="Arial" w:hAnsi="Arial" w:cs="Arial"/>
        </w:rPr>
        <w:t>) ist von der Einhebung abzusehen. Die Zuzahlungen bei Rehabilitationsaufenthalten sind höchsten für 28 Tage im Kalenderjahr zu leiste</w:t>
      </w:r>
      <w:r>
        <w:rPr>
          <w:rFonts w:ascii="Arial" w:hAnsi="Arial" w:cs="Arial"/>
        </w:rPr>
        <w:t>n</w:t>
      </w:r>
      <w:r w:rsidRPr="00F851F9">
        <w:rPr>
          <w:rFonts w:ascii="Arial" w:hAnsi="Arial" w:cs="Arial"/>
        </w:rPr>
        <w:t>.</w:t>
      </w:r>
    </w:p>
    <w:p w:rsidR="00E561AB" w:rsidRPr="00F851F9" w:rsidRDefault="00E561AB" w:rsidP="0043200A">
      <w:pPr>
        <w:jc w:val="both"/>
        <w:rPr>
          <w:rFonts w:ascii="Arial" w:hAnsi="Arial" w:cs="Arial"/>
        </w:rPr>
      </w:pPr>
    </w:p>
    <w:p w:rsidR="00E561AB" w:rsidRPr="00F851F9" w:rsidRDefault="00E561AB" w:rsidP="00E561AB">
      <w:pPr>
        <w:rPr>
          <w:rFonts w:ascii="Arial" w:hAnsi="Arial" w:cs="Arial"/>
          <w:bCs/>
        </w:rPr>
      </w:pPr>
    </w:p>
    <w:p w:rsidR="00E561AB" w:rsidRPr="0043200A" w:rsidRDefault="00E561AB" w:rsidP="0043200A">
      <w:pPr>
        <w:pStyle w:val="berschrift2"/>
        <w:numPr>
          <w:ilvl w:val="0"/>
          <w:numId w:val="10"/>
        </w:numPr>
        <w:rPr>
          <w:rFonts w:cs="Arial"/>
          <w:i/>
          <w:sz w:val="28"/>
          <w:szCs w:val="28"/>
        </w:rPr>
      </w:pPr>
      <w:r w:rsidRPr="0043200A">
        <w:rPr>
          <w:rFonts w:cs="Arial"/>
          <w:sz w:val="28"/>
          <w:szCs w:val="28"/>
        </w:rPr>
        <w:lastRenderedPageBreak/>
        <w:t xml:space="preserve">Service–Entgelt für die e-card  </w:t>
      </w:r>
    </w:p>
    <w:p w:rsidR="00E561AB" w:rsidRPr="00F851F9" w:rsidRDefault="00E561AB" w:rsidP="0043200A">
      <w:pPr>
        <w:pStyle w:val="berschrift2"/>
        <w:jc w:val="both"/>
        <w:rPr>
          <w:rFonts w:cs="Arial"/>
        </w:rPr>
      </w:pPr>
      <w:r w:rsidRPr="00F851F9">
        <w:rPr>
          <w:rFonts w:cs="Arial"/>
          <w:b w:val="0"/>
        </w:rPr>
        <w:t xml:space="preserve">Die Höhe des Service–Entgeltes </w:t>
      </w:r>
      <w:r>
        <w:rPr>
          <w:rFonts w:cs="Arial"/>
          <w:b w:val="0"/>
        </w:rPr>
        <w:t xml:space="preserve">für das Jahr 2016 </w:t>
      </w:r>
      <w:r w:rsidRPr="00F851F9">
        <w:rPr>
          <w:rFonts w:cs="Arial"/>
          <w:b w:val="0"/>
        </w:rPr>
        <w:t xml:space="preserve">beträgt </w:t>
      </w:r>
      <w:r>
        <w:rPr>
          <w:rFonts w:cs="Arial"/>
          <w:b w:val="0"/>
        </w:rPr>
        <w:t>€ 10,85 und wird im November 2015 eingehoben.</w:t>
      </w:r>
      <w:r w:rsidRPr="00F851F9">
        <w:rPr>
          <w:rFonts w:cs="Arial"/>
          <w:b w:val="0"/>
        </w:rPr>
        <w:t xml:space="preserve"> </w:t>
      </w:r>
      <w:r>
        <w:rPr>
          <w:rFonts w:cs="Arial"/>
          <w:b w:val="0"/>
        </w:rPr>
        <w:t xml:space="preserve">Kein Service-Entgelt zahlen mitversicherte Kinder und </w:t>
      </w:r>
      <w:proofErr w:type="spellStart"/>
      <w:r w:rsidRPr="00F851F9">
        <w:rPr>
          <w:rFonts w:cs="Arial"/>
          <w:b w:val="0"/>
        </w:rPr>
        <w:t>Pensionist</w:t>
      </w:r>
      <w:r>
        <w:rPr>
          <w:rFonts w:cs="Arial"/>
          <w:b w:val="0"/>
        </w:rPr>
        <w:t>Innen</w:t>
      </w:r>
      <w:proofErr w:type="spellEnd"/>
      <w:r>
        <w:rPr>
          <w:rFonts w:cs="Arial"/>
          <w:b w:val="0"/>
        </w:rPr>
        <w:t>.</w:t>
      </w:r>
    </w:p>
    <w:p w:rsidR="00E561AB" w:rsidRPr="00F851F9" w:rsidRDefault="00E561AB" w:rsidP="00E561AB">
      <w:pPr>
        <w:rPr>
          <w:rFonts w:ascii="Arial" w:hAnsi="Arial" w:cs="Arial"/>
        </w:rPr>
      </w:pPr>
    </w:p>
    <w:p w:rsidR="00E561AB" w:rsidRPr="00F851F9" w:rsidRDefault="00E561AB" w:rsidP="00E561AB">
      <w:pPr>
        <w:rPr>
          <w:rFonts w:ascii="Arial" w:hAnsi="Arial" w:cs="Arial"/>
        </w:rPr>
      </w:pPr>
    </w:p>
    <w:p w:rsidR="00E561AB" w:rsidRPr="0043200A" w:rsidRDefault="00E561AB" w:rsidP="0043200A">
      <w:pPr>
        <w:pStyle w:val="berschrift1"/>
        <w:numPr>
          <w:ilvl w:val="0"/>
          <w:numId w:val="11"/>
        </w:numPr>
        <w:rPr>
          <w:rFonts w:cs="Arial"/>
          <w:szCs w:val="28"/>
        </w:rPr>
      </w:pPr>
      <w:r w:rsidRPr="0043200A">
        <w:rPr>
          <w:rFonts w:cs="Arial"/>
          <w:szCs w:val="28"/>
        </w:rPr>
        <w:t>Rundfunkgebührenbefreiung, Zuschuss zum Fernsprechentgelt und Befreiung von der Ökostrompauschale</w:t>
      </w:r>
    </w:p>
    <w:p w:rsidR="00E561AB" w:rsidRPr="00BC6E19" w:rsidRDefault="00E561AB" w:rsidP="00E561AB">
      <w:pPr>
        <w:tabs>
          <w:tab w:val="left" w:pos="0"/>
        </w:tabs>
        <w:rPr>
          <w:rFonts w:ascii="Arial" w:hAnsi="Arial" w:cs="Arial"/>
        </w:rPr>
      </w:pPr>
    </w:p>
    <w:p w:rsidR="00E561AB" w:rsidRPr="00EA087D" w:rsidRDefault="00E561AB" w:rsidP="0043200A">
      <w:pPr>
        <w:jc w:val="both"/>
        <w:rPr>
          <w:rFonts w:ascii="Arial" w:hAnsi="Arial" w:cs="Arial"/>
        </w:rPr>
      </w:pPr>
      <w:r w:rsidRPr="00EA087D">
        <w:rPr>
          <w:rFonts w:ascii="Arial" w:hAnsi="Arial" w:cs="Arial"/>
        </w:rPr>
        <w:t xml:space="preserve">Nach Abzug der Miete </w:t>
      </w:r>
      <w:r>
        <w:rPr>
          <w:rFonts w:ascii="Arial" w:hAnsi="Arial" w:cs="Arial"/>
        </w:rPr>
        <w:t xml:space="preserve">(bei Eigenheimen wird eine Eigenheimpauschale in der Höhe von € 105,-- anerkannt) </w:t>
      </w:r>
      <w:r w:rsidRPr="00EA087D">
        <w:rPr>
          <w:rFonts w:ascii="Arial" w:hAnsi="Arial" w:cs="Arial"/>
        </w:rPr>
        <w:t>und außergewöhnlicher Belastungen beträgt die Einkommensgrenze</w:t>
      </w:r>
      <w:r w:rsidR="0043200A">
        <w:rPr>
          <w:rFonts w:ascii="Arial" w:hAnsi="Arial" w:cs="Arial"/>
        </w:rPr>
        <w:t xml:space="preserve"> </w:t>
      </w:r>
      <w:r w:rsidRPr="00EA087D">
        <w:rPr>
          <w:rFonts w:ascii="Arial" w:hAnsi="Arial" w:cs="Arial"/>
        </w:rPr>
        <w:t>bei einem Haushalt</w:t>
      </w:r>
    </w:p>
    <w:p w:rsidR="00E561AB" w:rsidRPr="004615C2" w:rsidRDefault="00E561AB" w:rsidP="00E561AB">
      <w:pPr>
        <w:tabs>
          <w:tab w:val="left" w:leader="dot" w:pos="7740"/>
          <w:tab w:val="right" w:pos="9000"/>
        </w:tabs>
        <w:rPr>
          <w:rFonts w:ascii="Arial" w:hAnsi="Arial" w:cs="Arial"/>
        </w:rPr>
      </w:pPr>
      <w:r w:rsidRPr="00EA087D">
        <w:rPr>
          <w:rFonts w:ascii="Arial" w:hAnsi="Arial" w:cs="Arial"/>
        </w:rPr>
        <w:t>mit 1 Person</w:t>
      </w:r>
      <w:r w:rsidRPr="00EA087D">
        <w:rPr>
          <w:rFonts w:ascii="Arial" w:hAnsi="Arial" w:cs="Arial"/>
        </w:rPr>
        <w:tab/>
        <w:t>€</w:t>
      </w:r>
      <w:r w:rsidRPr="004615C2">
        <w:rPr>
          <w:rFonts w:ascii="Arial" w:hAnsi="Arial" w:cs="Arial"/>
        </w:rPr>
        <w:tab/>
      </w:r>
      <w:r>
        <w:rPr>
          <w:rFonts w:ascii="Arial" w:hAnsi="Arial" w:cs="Arial"/>
        </w:rPr>
        <w:t>976,99</w:t>
      </w:r>
    </w:p>
    <w:p w:rsidR="00E561AB" w:rsidRPr="004615C2" w:rsidRDefault="00E561AB" w:rsidP="00E561AB">
      <w:pPr>
        <w:tabs>
          <w:tab w:val="left" w:leader="dot" w:pos="7740"/>
          <w:tab w:val="right" w:pos="9000"/>
        </w:tabs>
        <w:rPr>
          <w:rFonts w:ascii="Arial" w:hAnsi="Arial" w:cs="Arial"/>
        </w:rPr>
      </w:pPr>
      <w:r w:rsidRPr="004615C2">
        <w:rPr>
          <w:rFonts w:ascii="Arial" w:hAnsi="Arial" w:cs="Arial"/>
        </w:rPr>
        <w:t xml:space="preserve">mit 2 Personen </w:t>
      </w:r>
      <w:r w:rsidRPr="004615C2">
        <w:rPr>
          <w:rFonts w:ascii="Arial" w:hAnsi="Arial" w:cs="Arial"/>
        </w:rPr>
        <w:tab/>
        <w:t>€</w:t>
      </w:r>
      <w:r w:rsidRPr="004615C2">
        <w:rPr>
          <w:rFonts w:ascii="Arial" w:hAnsi="Arial" w:cs="Arial"/>
        </w:rPr>
        <w:tab/>
        <w:t>1.</w:t>
      </w:r>
      <w:r>
        <w:rPr>
          <w:rFonts w:ascii="Arial" w:hAnsi="Arial" w:cs="Arial"/>
        </w:rPr>
        <w:t>464,84</w:t>
      </w:r>
    </w:p>
    <w:p w:rsidR="00E561AB" w:rsidRPr="004615C2" w:rsidRDefault="00E561AB" w:rsidP="00E561AB">
      <w:pPr>
        <w:tabs>
          <w:tab w:val="left" w:leader="dot" w:pos="7740"/>
          <w:tab w:val="right" w:pos="9000"/>
        </w:tabs>
        <w:rPr>
          <w:rFonts w:ascii="Arial" w:hAnsi="Arial" w:cs="Arial"/>
        </w:rPr>
      </w:pPr>
      <w:r w:rsidRPr="004615C2">
        <w:rPr>
          <w:rFonts w:ascii="Arial" w:hAnsi="Arial" w:cs="Arial"/>
        </w:rPr>
        <w:t>für jede weitere im gemeinsamen Haushalt lebende Person</w:t>
      </w:r>
      <w:r w:rsidRPr="004615C2">
        <w:rPr>
          <w:rFonts w:ascii="Arial" w:hAnsi="Arial" w:cs="Arial"/>
        </w:rPr>
        <w:tab/>
        <w:t>€</w:t>
      </w:r>
      <w:r w:rsidRPr="004615C2">
        <w:rPr>
          <w:rFonts w:ascii="Arial" w:hAnsi="Arial" w:cs="Arial"/>
        </w:rPr>
        <w:tab/>
      </w:r>
      <w:r>
        <w:rPr>
          <w:rFonts w:ascii="Arial" w:hAnsi="Arial" w:cs="Arial"/>
        </w:rPr>
        <w:t>150,74</w:t>
      </w:r>
    </w:p>
    <w:p w:rsidR="00E561AB" w:rsidRPr="004615C2" w:rsidRDefault="00E561AB" w:rsidP="00E561AB">
      <w:pPr>
        <w:pStyle w:val="Textkrper31"/>
        <w:tabs>
          <w:tab w:val="left" w:pos="0"/>
        </w:tabs>
        <w:overflowPunct/>
        <w:autoSpaceDE/>
        <w:autoSpaceDN/>
        <w:adjustRightInd/>
        <w:jc w:val="left"/>
        <w:textAlignment w:val="auto"/>
        <w:rPr>
          <w:rFonts w:cs="Arial"/>
          <w:i/>
          <w:iCs/>
          <w:szCs w:val="24"/>
        </w:rPr>
      </w:pPr>
    </w:p>
    <w:p w:rsidR="00E561AB" w:rsidRDefault="00E561AB" w:rsidP="0043200A">
      <w:pPr>
        <w:pStyle w:val="Textkrper31"/>
        <w:tabs>
          <w:tab w:val="left" w:pos="0"/>
          <w:tab w:val="left" w:pos="3240"/>
        </w:tabs>
        <w:overflowPunct/>
        <w:autoSpaceDE/>
        <w:autoSpaceDN/>
        <w:adjustRightInd/>
        <w:textAlignment w:val="auto"/>
        <w:rPr>
          <w:rFonts w:cs="Arial"/>
          <w:b w:val="0"/>
          <w:bCs/>
          <w:szCs w:val="24"/>
          <w:lang w:val="de-CH"/>
        </w:rPr>
      </w:pPr>
      <w:r w:rsidRPr="004615C2">
        <w:rPr>
          <w:rFonts w:cs="Arial"/>
          <w:b w:val="0"/>
          <w:szCs w:val="24"/>
        </w:rPr>
        <w:t>Das Haushalts-Nettoeinkommen ist das Nettoeinkommen</w:t>
      </w:r>
      <w:r>
        <w:rPr>
          <w:rFonts w:cs="Arial"/>
          <w:b w:val="0"/>
          <w:szCs w:val="24"/>
        </w:rPr>
        <w:t xml:space="preserve"> </w:t>
      </w:r>
      <w:r w:rsidRPr="004615C2">
        <w:rPr>
          <w:rStyle w:val="Fett"/>
          <w:rFonts w:cs="Arial"/>
        </w:rPr>
        <w:t>ALLER in einem Haushalt</w:t>
      </w:r>
      <w:r>
        <w:rPr>
          <w:rStyle w:val="Fett"/>
          <w:rFonts w:cs="Arial"/>
        </w:rPr>
        <w:t xml:space="preserve"> </w:t>
      </w:r>
      <w:r w:rsidRPr="004615C2">
        <w:rPr>
          <w:rFonts w:cs="Arial"/>
          <w:b w:val="0"/>
          <w:szCs w:val="24"/>
        </w:rPr>
        <w:t xml:space="preserve">lebenden Personen. </w:t>
      </w:r>
      <w:r w:rsidRPr="004615C2">
        <w:rPr>
          <w:rFonts w:cs="Arial"/>
          <w:b w:val="0"/>
          <w:bCs/>
          <w:szCs w:val="24"/>
          <w:lang w:val="de-CH"/>
        </w:rPr>
        <w:t>Leistungen auf Grund des Familienlastenausgleichsgesetzes, Impfschadengesetzes, Kriegsopferrenten, Heeresversorgungsrenten, Opferfürsorgerenten, Verbrechensopferrenten sowie</w:t>
      </w:r>
      <w:r w:rsidRPr="00BC6E19">
        <w:rPr>
          <w:rFonts w:cs="Arial"/>
          <w:b w:val="0"/>
          <w:bCs/>
          <w:szCs w:val="24"/>
          <w:lang w:val="de-CH"/>
        </w:rPr>
        <w:t xml:space="preserve"> Unfallrenten und das Pflegegeld sind jedoch nicht anzurechnen.</w:t>
      </w:r>
    </w:p>
    <w:p w:rsidR="00E561AB" w:rsidRDefault="00E561AB" w:rsidP="0043200A">
      <w:pPr>
        <w:pStyle w:val="Textkrper31"/>
        <w:tabs>
          <w:tab w:val="left" w:pos="0"/>
          <w:tab w:val="left" w:pos="3240"/>
        </w:tabs>
        <w:overflowPunct/>
        <w:autoSpaceDE/>
        <w:autoSpaceDN/>
        <w:adjustRightInd/>
        <w:textAlignment w:val="auto"/>
        <w:rPr>
          <w:rFonts w:cs="Arial"/>
          <w:b w:val="0"/>
          <w:bCs/>
          <w:szCs w:val="24"/>
          <w:lang w:val="de-CH"/>
        </w:rPr>
      </w:pPr>
    </w:p>
    <w:p w:rsidR="00E561AB" w:rsidRDefault="00E561AB" w:rsidP="0043200A">
      <w:pPr>
        <w:pStyle w:val="Textkrper31"/>
        <w:tabs>
          <w:tab w:val="left" w:pos="0"/>
          <w:tab w:val="left" w:pos="3240"/>
        </w:tabs>
        <w:overflowPunct/>
        <w:autoSpaceDE/>
        <w:autoSpaceDN/>
        <w:adjustRightInd/>
        <w:textAlignment w:val="auto"/>
        <w:rPr>
          <w:rFonts w:eastAsia="Arial Unicode MS" w:cs="Arial"/>
          <w:b w:val="0"/>
        </w:rPr>
      </w:pPr>
      <w:r w:rsidRPr="00EA087D">
        <w:rPr>
          <w:rFonts w:cs="Arial"/>
          <w:b w:val="0"/>
        </w:rPr>
        <w:t>Wie bisher erwirbt der Anspruchsberechtigte bei Vorlage des Bescheides das ausschließliche Recht auf eine monatliche Gutschrift auf das vom Betreiber in Rechnung gestellte Entgelt. Eine Auszahlung an den Anspruchsberechtigten ist nicht zulässig.</w:t>
      </w:r>
      <w:r w:rsidRPr="00EA087D">
        <w:rPr>
          <w:rFonts w:eastAsia="Arial Unicode MS" w:cs="Arial"/>
          <w:b w:val="0"/>
        </w:rPr>
        <w:t xml:space="preserve"> Derzeit können anspruchsberechtigte Personen zwischen folgenden Betreibern wählen: A1 Telekom Austria AG (</w:t>
      </w:r>
      <w:hyperlink r:id="rId8" w:tgtFrame="_blank" w:history="1">
        <w:r w:rsidRPr="00EA087D">
          <w:rPr>
            <w:rStyle w:val="Hyperlink"/>
            <w:rFonts w:cs="Arial"/>
            <w:b w:val="0"/>
          </w:rPr>
          <w:t>A1 Festnetz u. Mobil</w:t>
        </w:r>
      </w:hyperlink>
      <w:r w:rsidRPr="00EA087D">
        <w:rPr>
          <w:rFonts w:eastAsia="Arial Unicode MS" w:cs="Arial"/>
          <w:b w:val="0"/>
        </w:rPr>
        <w:t xml:space="preserve"> / </w:t>
      </w:r>
      <w:hyperlink r:id="rId9" w:tgtFrame="_blank" w:history="1">
        <w:proofErr w:type="spellStart"/>
        <w:r w:rsidRPr="00EA087D">
          <w:rPr>
            <w:rStyle w:val="Hyperlink"/>
            <w:rFonts w:cs="Arial"/>
            <w:b w:val="0"/>
          </w:rPr>
          <w:t>bob</w:t>
        </w:r>
        <w:proofErr w:type="spellEnd"/>
      </w:hyperlink>
      <w:r w:rsidRPr="00EA087D">
        <w:rPr>
          <w:rFonts w:eastAsia="Arial Unicode MS" w:cs="Arial"/>
          <w:b w:val="0"/>
        </w:rPr>
        <w:t xml:space="preserve">), </w:t>
      </w:r>
      <w:hyperlink r:id="rId10" w:tgtFrame="_blank" w:history="1">
        <w:r w:rsidRPr="00EA087D">
          <w:rPr>
            <w:rStyle w:val="Hyperlink"/>
            <w:rFonts w:cs="Arial"/>
            <w:b w:val="0"/>
          </w:rPr>
          <w:t xml:space="preserve">AICALL </w:t>
        </w:r>
        <w:proofErr w:type="spellStart"/>
        <w:r w:rsidRPr="00EA087D">
          <w:rPr>
            <w:rStyle w:val="Hyperlink"/>
            <w:rFonts w:cs="Arial"/>
            <w:b w:val="0"/>
          </w:rPr>
          <w:t>Telekomm</w:t>
        </w:r>
        <w:proofErr w:type="spellEnd"/>
        <w:r w:rsidRPr="00EA087D">
          <w:rPr>
            <w:rStyle w:val="Hyperlink"/>
            <w:rFonts w:cs="Arial"/>
            <w:b w:val="0"/>
          </w:rPr>
          <w:t>.-</w:t>
        </w:r>
        <w:proofErr w:type="spellStart"/>
        <w:r w:rsidRPr="00EA087D">
          <w:rPr>
            <w:rStyle w:val="Hyperlink"/>
            <w:rFonts w:cs="Arial"/>
            <w:b w:val="0"/>
          </w:rPr>
          <w:t>Dienstleistungs</w:t>
        </w:r>
        <w:proofErr w:type="spellEnd"/>
        <w:r w:rsidRPr="00EA087D">
          <w:rPr>
            <w:rStyle w:val="Hyperlink"/>
            <w:rFonts w:cs="Arial"/>
            <w:b w:val="0"/>
          </w:rPr>
          <w:t xml:space="preserve"> GmbH</w:t>
        </w:r>
      </w:hyperlink>
      <w:r w:rsidRPr="00EA087D">
        <w:rPr>
          <w:rFonts w:eastAsia="Arial Unicode MS" w:cs="Arial"/>
          <w:b w:val="0"/>
        </w:rPr>
        <w:t xml:space="preserve">, </w:t>
      </w:r>
      <w:hyperlink r:id="rId11" w:tgtFrame="_blank" w:history="1">
        <w:r w:rsidRPr="00EA087D">
          <w:rPr>
            <w:rStyle w:val="Hyperlink"/>
            <w:rFonts w:cs="Arial"/>
            <w:b w:val="0"/>
          </w:rPr>
          <w:t>Hutchison Drei Austria GmbH</w:t>
        </w:r>
      </w:hyperlink>
      <w:r w:rsidRPr="00EA087D">
        <w:rPr>
          <w:rFonts w:eastAsia="Arial Unicode MS" w:cs="Arial"/>
          <w:b w:val="0"/>
        </w:rPr>
        <w:t xml:space="preserve">, </w:t>
      </w:r>
      <w:hyperlink r:id="rId12" w:tgtFrame="_blank" w:history="1">
        <w:r w:rsidRPr="00EA087D">
          <w:rPr>
            <w:rStyle w:val="Hyperlink"/>
            <w:rFonts w:cs="Arial"/>
            <w:b w:val="0"/>
          </w:rPr>
          <w:t>Kabel-TV Amstetten GmbH</w:t>
        </w:r>
      </w:hyperlink>
      <w:r w:rsidRPr="00EA087D">
        <w:rPr>
          <w:rFonts w:eastAsia="Arial Unicode MS" w:cs="Arial"/>
          <w:b w:val="0"/>
        </w:rPr>
        <w:t xml:space="preserve">, </w:t>
      </w:r>
      <w:hyperlink r:id="rId13" w:tgtFrame="_blank" w:history="1">
        <w:r w:rsidRPr="00EA087D">
          <w:rPr>
            <w:rStyle w:val="Hyperlink"/>
            <w:rFonts w:cs="Arial"/>
            <w:b w:val="0"/>
          </w:rPr>
          <w:t>T-Mobile Austria GmbH</w:t>
        </w:r>
      </w:hyperlink>
      <w:r w:rsidRPr="00EA087D">
        <w:rPr>
          <w:rFonts w:eastAsia="Arial Unicode MS" w:cs="Arial"/>
          <w:b w:val="0"/>
        </w:rPr>
        <w:t xml:space="preserve">, </w:t>
      </w:r>
    </w:p>
    <w:p w:rsidR="00E561AB" w:rsidRPr="00BC6E19" w:rsidRDefault="00E561AB" w:rsidP="00E561AB">
      <w:pPr>
        <w:pStyle w:val="Textkrper31"/>
        <w:tabs>
          <w:tab w:val="left" w:pos="0"/>
          <w:tab w:val="left" w:pos="3240"/>
        </w:tabs>
        <w:overflowPunct/>
        <w:autoSpaceDE/>
        <w:autoSpaceDN/>
        <w:adjustRightInd/>
        <w:jc w:val="left"/>
        <w:textAlignment w:val="auto"/>
        <w:rPr>
          <w:rFonts w:cs="Arial"/>
          <w:szCs w:val="24"/>
          <w:lang w:val="de-CH"/>
        </w:rPr>
      </w:pPr>
    </w:p>
    <w:p w:rsidR="00E561AB" w:rsidRPr="00BC6E19" w:rsidRDefault="00E561AB" w:rsidP="0043200A">
      <w:pPr>
        <w:pStyle w:val="bodytext"/>
        <w:spacing w:before="0" w:beforeAutospacing="0" w:after="0" w:afterAutospacing="0"/>
        <w:jc w:val="both"/>
        <w:rPr>
          <w:rFonts w:ascii="Arial" w:hAnsi="Arial" w:cs="Arial"/>
          <w:lang w:val="de-DE"/>
        </w:rPr>
      </w:pPr>
      <w:r w:rsidRPr="00BC6E19">
        <w:rPr>
          <w:rFonts w:ascii="Arial" w:hAnsi="Arial" w:cs="Arial"/>
          <w:lang w:val="de-DE"/>
        </w:rPr>
        <w:t xml:space="preserve">Allen Beziehern des Zuschusses zu den Fernsprechentgelten steht seit 1. Juli 2012 (Inkrafttreten des neuen Ökostromgesetzes) eine Befreiung von der Entrichtung der sogenannten Ökostrompauschale, sowie von der Bezahlung des 20 Euro übersteigenden Teils des Ökostromförderbeitrags zu. </w:t>
      </w:r>
    </w:p>
    <w:p w:rsidR="00E561AB" w:rsidRDefault="00E561AB" w:rsidP="00E561AB">
      <w:pPr>
        <w:rPr>
          <w:rFonts w:ascii="Arial" w:hAnsi="Arial" w:cs="Arial"/>
          <w:b/>
        </w:rPr>
      </w:pPr>
    </w:p>
    <w:p w:rsidR="00E561AB" w:rsidRPr="0042365B" w:rsidRDefault="00E561AB" w:rsidP="00E561AB">
      <w:pPr>
        <w:rPr>
          <w:rFonts w:ascii="Arial" w:hAnsi="Arial" w:cs="Arial"/>
        </w:rPr>
      </w:pPr>
      <w:bookmarkStart w:id="0" w:name="_GoBack"/>
      <w:r w:rsidRPr="0042365B">
        <w:rPr>
          <w:rFonts w:ascii="Arial" w:hAnsi="Arial" w:cs="Arial"/>
        </w:rPr>
        <w:t xml:space="preserve">Weitere Informationen: http://www.gis.at </w:t>
      </w:r>
    </w:p>
    <w:bookmarkEnd w:id="0"/>
    <w:p w:rsidR="00E561AB" w:rsidRPr="00BC6E19" w:rsidRDefault="00E561AB" w:rsidP="00E561AB">
      <w:pPr>
        <w:rPr>
          <w:rFonts w:ascii="Arial" w:hAnsi="Arial" w:cs="Arial"/>
          <w:color w:val="0070C0"/>
        </w:rPr>
      </w:pPr>
    </w:p>
    <w:p w:rsidR="00E561AB" w:rsidRPr="00BC6E19" w:rsidRDefault="00E561AB" w:rsidP="00E561AB">
      <w:pPr>
        <w:rPr>
          <w:rFonts w:ascii="Arial" w:hAnsi="Arial" w:cs="Arial"/>
          <w:color w:val="0070C0"/>
        </w:rPr>
      </w:pPr>
    </w:p>
    <w:p w:rsidR="00E561AB" w:rsidRDefault="00E561AB" w:rsidP="0043200A">
      <w:pPr>
        <w:pStyle w:val="Listenabsatz"/>
        <w:keepNext/>
        <w:numPr>
          <w:ilvl w:val="0"/>
          <w:numId w:val="12"/>
        </w:numPr>
        <w:outlineLvl w:val="0"/>
        <w:rPr>
          <w:rFonts w:ascii="Arial" w:hAnsi="Arial" w:cs="Arial"/>
          <w:b/>
          <w:sz w:val="28"/>
          <w:szCs w:val="28"/>
        </w:rPr>
      </w:pPr>
      <w:r w:rsidRPr="0043200A">
        <w:rPr>
          <w:rFonts w:ascii="Arial" w:hAnsi="Arial" w:cs="Arial"/>
          <w:b/>
          <w:sz w:val="28"/>
          <w:szCs w:val="28"/>
        </w:rPr>
        <w:t xml:space="preserve">Ausgleichstaxe nach dem Behinderteneinstellungsgesetz  </w:t>
      </w:r>
    </w:p>
    <w:p w:rsidR="0043200A" w:rsidRPr="0043200A" w:rsidRDefault="0043200A" w:rsidP="0043200A">
      <w:pPr>
        <w:keepNext/>
        <w:outlineLvl w:val="0"/>
        <w:rPr>
          <w:rFonts w:ascii="Arial" w:hAnsi="Arial" w:cs="Arial"/>
          <w:b/>
          <w:sz w:val="28"/>
          <w:szCs w:val="28"/>
        </w:rPr>
      </w:pPr>
    </w:p>
    <w:p w:rsidR="00E561AB" w:rsidRPr="00E561AB" w:rsidRDefault="00E561AB" w:rsidP="00E561AB">
      <w:pPr>
        <w:spacing w:after="300"/>
        <w:jc w:val="both"/>
        <w:rPr>
          <w:rFonts w:ascii="Arial" w:hAnsi="Arial" w:cs="Arial"/>
          <w:color w:val="333333"/>
          <w:lang w:val="de-AT"/>
        </w:rPr>
      </w:pPr>
      <w:r w:rsidRPr="00E561AB">
        <w:rPr>
          <w:rFonts w:ascii="Arial" w:hAnsi="Arial" w:cs="Arial"/>
          <w:color w:val="333333"/>
          <w:lang w:val="de-AT"/>
        </w:rPr>
        <w:t xml:space="preserve">Die Höhe der gemäß § 9 Abs. 2 Behinderteneinstellungsgesetz zu entrichtenden Ausgleichstaxe beträgt für das Kalenderjahr 2015 für jede einzelne Person, die zu beschäftigen wäre, </w:t>
      </w:r>
    </w:p>
    <w:p w:rsidR="00E561AB" w:rsidRPr="00E561AB" w:rsidRDefault="00E561AB" w:rsidP="00E561AB">
      <w:pPr>
        <w:numPr>
          <w:ilvl w:val="0"/>
          <w:numId w:val="2"/>
        </w:numPr>
        <w:spacing w:after="300"/>
        <w:rPr>
          <w:rFonts w:ascii="Arial" w:hAnsi="Arial" w:cs="Arial"/>
          <w:color w:val="333333"/>
          <w:lang w:val="de-AT"/>
        </w:rPr>
      </w:pPr>
      <w:r w:rsidRPr="00E561AB">
        <w:rPr>
          <w:rFonts w:ascii="Arial" w:hAnsi="Arial" w:cs="Arial"/>
          <w:color w:val="333333"/>
          <w:lang w:val="de-AT"/>
        </w:rPr>
        <w:t>für Dienstgeber mit 25 bis 99 Dienstnehmern monatlich 248 Euro,</w:t>
      </w:r>
    </w:p>
    <w:p w:rsidR="00E561AB" w:rsidRPr="00E561AB" w:rsidRDefault="00E561AB" w:rsidP="00E561AB">
      <w:pPr>
        <w:numPr>
          <w:ilvl w:val="0"/>
          <w:numId w:val="2"/>
        </w:numPr>
        <w:spacing w:after="300"/>
        <w:rPr>
          <w:rFonts w:ascii="Arial" w:hAnsi="Arial" w:cs="Arial"/>
          <w:color w:val="333333"/>
          <w:lang w:val="de-AT"/>
        </w:rPr>
      </w:pPr>
      <w:r w:rsidRPr="00E561AB">
        <w:rPr>
          <w:rFonts w:ascii="Arial" w:hAnsi="Arial" w:cs="Arial"/>
          <w:color w:val="333333"/>
          <w:lang w:val="de-AT"/>
        </w:rPr>
        <w:t xml:space="preserve"> für Dienstgeber mit 100 bis 399 Dienstnehmern monatlich 348 Euro und </w:t>
      </w:r>
    </w:p>
    <w:p w:rsidR="00E561AB" w:rsidRPr="00E561AB" w:rsidRDefault="00E561AB" w:rsidP="00E561AB">
      <w:pPr>
        <w:numPr>
          <w:ilvl w:val="0"/>
          <w:numId w:val="2"/>
        </w:numPr>
        <w:spacing w:after="300"/>
        <w:rPr>
          <w:rFonts w:ascii="Arial" w:hAnsi="Arial" w:cs="Arial"/>
          <w:color w:val="333333"/>
          <w:lang w:val="de-AT"/>
        </w:rPr>
      </w:pPr>
      <w:r w:rsidRPr="00E561AB">
        <w:rPr>
          <w:rFonts w:ascii="Arial" w:hAnsi="Arial" w:cs="Arial"/>
          <w:color w:val="333333"/>
          <w:lang w:val="de-AT"/>
        </w:rPr>
        <w:t xml:space="preserve">für Dienstgeber mit 400 oder mehr Dienstnehmern monatlich 370 Euro.   </w:t>
      </w:r>
    </w:p>
    <w:p w:rsidR="00E561AB" w:rsidRPr="0043200A" w:rsidRDefault="00E561AB" w:rsidP="0043200A">
      <w:pPr>
        <w:pStyle w:val="Listenabsatz"/>
        <w:numPr>
          <w:ilvl w:val="0"/>
          <w:numId w:val="13"/>
        </w:numPr>
        <w:rPr>
          <w:rFonts w:ascii="Arial" w:hAnsi="Arial" w:cs="Arial"/>
          <w:b/>
          <w:sz w:val="28"/>
          <w:szCs w:val="28"/>
        </w:rPr>
      </w:pPr>
      <w:r w:rsidRPr="0043200A">
        <w:rPr>
          <w:rFonts w:ascii="Arial" w:hAnsi="Arial" w:cs="Arial"/>
          <w:b/>
          <w:sz w:val="28"/>
          <w:szCs w:val="28"/>
        </w:rPr>
        <w:lastRenderedPageBreak/>
        <w:t>Verbesserung für die Selbstversicherung in der Pensionsversicherung für die Zeiten der Pflege eines Kindes mit Behinderung</w:t>
      </w:r>
    </w:p>
    <w:p w:rsidR="0043200A" w:rsidRPr="0043200A" w:rsidRDefault="0043200A" w:rsidP="0043200A">
      <w:pPr>
        <w:rPr>
          <w:rFonts w:ascii="Arial" w:hAnsi="Arial" w:cs="Arial"/>
          <w:b/>
        </w:rPr>
      </w:pPr>
      <w:r w:rsidRPr="0043200A">
        <w:rPr>
          <w:rFonts w:ascii="Arial" w:hAnsi="Arial" w:cs="Arial"/>
          <w:b/>
        </w:rPr>
        <w:t>Sozialversicherungs-Anpassungsgesetz (SVAG)</w:t>
      </w:r>
    </w:p>
    <w:p w:rsidR="00E561AB" w:rsidRPr="001A2FC4" w:rsidRDefault="00E561AB" w:rsidP="00E561AB">
      <w:pPr>
        <w:pStyle w:val="Listenabsatz"/>
        <w:ind w:left="0"/>
        <w:rPr>
          <w:rFonts w:ascii="Arial" w:hAnsi="Arial" w:cs="Arial"/>
          <w:b/>
        </w:rPr>
      </w:pPr>
    </w:p>
    <w:p w:rsidR="00E561AB" w:rsidRDefault="00E561AB" w:rsidP="0043200A">
      <w:pPr>
        <w:jc w:val="both"/>
        <w:rPr>
          <w:rFonts w:ascii="Arial" w:hAnsi="Arial" w:cs="Arial"/>
        </w:rPr>
      </w:pPr>
      <w:r>
        <w:rPr>
          <w:rFonts w:ascii="Arial" w:hAnsi="Arial" w:cs="Arial"/>
        </w:rPr>
        <w:t xml:space="preserve">Personen, die sich der Pflege eines im gemeinsamen Haushalt lebenden Kindes mit Behinderung, für das erhöhte Familienbeihilfe gewährt wird, unter überwiegender Beanspruchung ihrer Arbeitskraft widmen, können sich, solange sie während dieses Zeitraumes ihren Wohnsitz im Inland haben, längstens jedoch bis zur Vollendung des 40. Lebensjahres des Kindes, in der Pensionsversicherung und Krankenversicherung selbst versichern. Dem Antragsteller entstehen keine Kosten, da die Beiträge aus den Mitteln des Ausgleichsfonds für Familienbeihilfen und aus Mitteln des Bundes getragen werden.  </w:t>
      </w:r>
    </w:p>
    <w:p w:rsidR="00E561AB" w:rsidRDefault="00E561AB" w:rsidP="0043200A">
      <w:pPr>
        <w:jc w:val="both"/>
        <w:rPr>
          <w:rFonts w:ascii="Arial" w:hAnsi="Arial" w:cs="Arial"/>
        </w:rPr>
      </w:pPr>
      <w:r w:rsidRPr="00770DE8">
        <w:rPr>
          <w:rFonts w:ascii="Arial" w:hAnsi="Arial" w:cs="Arial"/>
        </w:rPr>
        <w:t xml:space="preserve">Die Selbstversicherung </w:t>
      </w:r>
      <w:r>
        <w:rPr>
          <w:rFonts w:ascii="Arial" w:hAnsi="Arial" w:cs="Arial"/>
        </w:rPr>
        <w:t xml:space="preserve">in der Pensionsversicherung für die Zeiten der Pflege eines Kindes mit Behinderung </w:t>
      </w:r>
      <w:r w:rsidRPr="00770DE8">
        <w:rPr>
          <w:rFonts w:ascii="Arial" w:hAnsi="Arial" w:cs="Arial"/>
        </w:rPr>
        <w:t xml:space="preserve">nach § 18 a ASVG wird </w:t>
      </w:r>
      <w:r>
        <w:rPr>
          <w:rFonts w:ascii="Arial" w:hAnsi="Arial" w:cs="Arial"/>
        </w:rPr>
        <w:t xml:space="preserve">ab </w:t>
      </w:r>
      <w:r w:rsidRPr="001F2BA7">
        <w:rPr>
          <w:rFonts w:ascii="Arial" w:hAnsi="Arial" w:cs="Arial"/>
          <w:b/>
        </w:rPr>
        <w:t>1.1.2015</w:t>
      </w:r>
      <w:r>
        <w:rPr>
          <w:rFonts w:ascii="Arial" w:hAnsi="Arial" w:cs="Arial"/>
        </w:rPr>
        <w:t xml:space="preserve"> </w:t>
      </w:r>
      <w:r w:rsidRPr="00770DE8">
        <w:rPr>
          <w:rFonts w:ascii="Arial" w:hAnsi="Arial" w:cs="Arial"/>
        </w:rPr>
        <w:t>an die Selbstversicherung in der Pensionsversicherung für Zeiten der Pflege naher Angehöriger nach § 18 b ASVG angeglichen</w:t>
      </w:r>
      <w:r>
        <w:rPr>
          <w:rFonts w:ascii="Arial" w:hAnsi="Arial" w:cs="Arial"/>
        </w:rPr>
        <w:t xml:space="preserve">, und zwar durch </w:t>
      </w:r>
    </w:p>
    <w:p w:rsidR="00E561AB" w:rsidRDefault="00E561AB" w:rsidP="0043200A">
      <w:pPr>
        <w:pStyle w:val="Listenabsatz"/>
        <w:numPr>
          <w:ilvl w:val="0"/>
          <w:numId w:val="3"/>
        </w:numPr>
        <w:spacing w:after="200" w:line="276" w:lineRule="auto"/>
        <w:ind w:left="0" w:firstLine="0"/>
        <w:jc w:val="both"/>
        <w:rPr>
          <w:rFonts w:ascii="Arial" w:hAnsi="Arial" w:cs="Arial"/>
        </w:rPr>
      </w:pPr>
      <w:r>
        <w:rPr>
          <w:rFonts w:ascii="Arial" w:hAnsi="Arial" w:cs="Arial"/>
        </w:rPr>
        <w:t xml:space="preserve">die Schaffung der Möglichkeit einer die Selbstversicherung nicht ausschließenden Erwerbstätigkeit neben der Pflege (bisher war die gänzliche Beanspruchung der Arbeitskraft Voraussetzung) und </w:t>
      </w:r>
    </w:p>
    <w:p w:rsidR="00E561AB" w:rsidRDefault="00E561AB" w:rsidP="0043200A">
      <w:pPr>
        <w:pStyle w:val="Listenabsatz"/>
        <w:numPr>
          <w:ilvl w:val="0"/>
          <w:numId w:val="3"/>
        </w:numPr>
        <w:spacing w:after="200" w:line="276" w:lineRule="auto"/>
        <w:ind w:left="0" w:firstLine="0"/>
        <w:jc w:val="both"/>
        <w:rPr>
          <w:rFonts w:ascii="Arial" w:hAnsi="Arial" w:cs="Arial"/>
        </w:rPr>
      </w:pPr>
      <w:r>
        <w:rPr>
          <w:rFonts w:ascii="Arial" w:hAnsi="Arial" w:cs="Arial"/>
        </w:rPr>
        <w:t xml:space="preserve">durch die Anhebung der Beitragsgrundlage von derzeit € 1.105,50 monatlich auf € 1.649,84 monatlich, wobei diese Angleichung in Etappen bis 2019 erfolgt. Diese Anhebung führt künftig zu einer höheren Pensionsleistung für die betroffenen Pflegepersonen. </w:t>
      </w:r>
    </w:p>
    <w:p w:rsidR="00E561AB" w:rsidRPr="003446DE" w:rsidRDefault="00E561AB" w:rsidP="00E561AB">
      <w:pPr>
        <w:pStyle w:val="Listenabsatz"/>
        <w:ind w:left="0"/>
        <w:rPr>
          <w:rFonts w:ascii="Arial" w:hAnsi="Arial" w:cs="Arial"/>
        </w:rPr>
      </w:pPr>
    </w:p>
    <w:p w:rsidR="00E561AB" w:rsidRDefault="00E561AB" w:rsidP="00E561AB"/>
    <w:p w:rsidR="0043200A" w:rsidRPr="0043200A" w:rsidRDefault="0043200A" w:rsidP="0043200A">
      <w:pPr>
        <w:pStyle w:val="Listenabsatz"/>
        <w:numPr>
          <w:ilvl w:val="0"/>
          <w:numId w:val="15"/>
        </w:numPr>
        <w:spacing w:line="276" w:lineRule="auto"/>
        <w:rPr>
          <w:rFonts w:ascii="Arial" w:eastAsiaTheme="minorHAnsi" w:hAnsi="Arial" w:cs="Arial"/>
          <w:b/>
          <w:sz w:val="28"/>
          <w:lang w:eastAsia="en-US"/>
        </w:rPr>
      </w:pPr>
      <w:r w:rsidRPr="0043200A">
        <w:rPr>
          <w:rFonts w:ascii="Arial" w:eastAsiaTheme="minorHAnsi" w:hAnsi="Arial" w:cs="Arial"/>
          <w:b/>
          <w:sz w:val="28"/>
          <w:lang w:eastAsia="en-US"/>
        </w:rPr>
        <w:t>Verschärfung der Anspruchsvoraussetzungen für die Pflegestufen 1 und 2 ab 1.1.2015</w:t>
      </w:r>
    </w:p>
    <w:p w:rsidR="0043200A" w:rsidRDefault="0043200A" w:rsidP="00E561AB">
      <w:pPr>
        <w:spacing w:line="276" w:lineRule="auto"/>
        <w:rPr>
          <w:rFonts w:ascii="Arial" w:eastAsiaTheme="minorHAnsi" w:hAnsi="Arial" w:cs="Arial"/>
          <w:b/>
          <w:lang w:eastAsia="en-US"/>
        </w:rPr>
      </w:pPr>
    </w:p>
    <w:p w:rsidR="00E561AB" w:rsidRPr="00E561AB" w:rsidRDefault="00E561AB" w:rsidP="00E561AB">
      <w:pPr>
        <w:spacing w:line="276" w:lineRule="auto"/>
        <w:rPr>
          <w:rFonts w:ascii="Arial" w:eastAsiaTheme="minorHAnsi" w:hAnsi="Arial" w:cs="Arial"/>
          <w:b/>
          <w:lang w:eastAsia="en-US"/>
        </w:rPr>
      </w:pPr>
      <w:r w:rsidRPr="00E561AB">
        <w:rPr>
          <w:rFonts w:ascii="Arial" w:eastAsiaTheme="minorHAnsi" w:hAnsi="Arial" w:cs="Arial"/>
          <w:b/>
          <w:lang w:eastAsia="en-US"/>
        </w:rPr>
        <w:t xml:space="preserve">Änderung des Bundespflegegeldgesetzes </w:t>
      </w: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Trotz zahlreicher Proteste und Interventionen des KOBV bei politisch Verantwortlichen sind die Verschlechterungen beim Pflegegeld mit 1.1.2015 unverändert in Kraft getreten. </w:t>
      </w:r>
    </w:p>
    <w:p w:rsidR="00E561AB" w:rsidRPr="00E561AB" w:rsidRDefault="00E561AB" w:rsidP="0043200A">
      <w:pPr>
        <w:spacing w:line="276" w:lineRule="auto"/>
        <w:jc w:val="both"/>
        <w:rPr>
          <w:rFonts w:ascii="Arial" w:eastAsiaTheme="minorHAnsi" w:hAnsi="Arial" w:cs="Arial"/>
          <w:lang w:eastAsia="en-US"/>
        </w:rPr>
      </w:pP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Statt Maßnahmen zur langfristigen finanziellen Absicherung des Systems der Pflegevorsorge zu setzen, wurden weitere Leistungskürzungen zu Lasten von pflegebedürftigen Menschen vorgenommen. Der Zugang zu den Pflegegeldstufen 1 und 2 wurde bereits im Rahmen des Budgetbegleitgesetzes 2011 um jeweils 10 Stunden erschwert, und wurden die Anspruchsvoraussetzungen in den genannten beiden Stufen nun neuerlich verschärft. Für die Betroffenen, die ohnehin nur über geringe Einkünfte verfügen und einen beachtlichen Teil für Pflegeleistungen aufbringen müssen, ist dies ein weiterer sehr bedauerlicher Schritt in die Armutsfalle. </w:t>
      </w:r>
    </w:p>
    <w:p w:rsidR="00E561AB" w:rsidRPr="00E561AB" w:rsidRDefault="00E561AB" w:rsidP="00E561AB">
      <w:pPr>
        <w:spacing w:line="276" w:lineRule="auto"/>
        <w:rPr>
          <w:rFonts w:ascii="Arial" w:eastAsiaTheme="minorHAnsi" w:hAnsi="Arial" w:cs="Arial"/>
          <w:lang w:eastAsia="en-US"/>
        </w:rPr>
      </w:pPr>
    </w:p>
    <w:p w:rsidR="00E561AB" w:rsidRPr="00E561AB" w:rsidRDefault="00E561AB" w:rsidP="00E561AB">
      <w:pPr>
        <w:spacing w:line="276" w:lineRule="auto"/>
        <w:rPr>
          <w:rFonts w:ascii="Arial" w:eastAsiaTheme="minorHAnsi" w:hAnsi="Arial" w:cs="Arial"/>
          <w:b/>
          <w:lang w:eastAsia="en-US"/>
        </w:rPr>
      </w:pPr>
      <w:r w:rsidRPr="00E561AB">
        <w:rPr>
          <w:rFonts w:ascii="Arial" w:eastAsiaTheme="minorHAnsi" w:hAnsi="Arial" w:cs="Arial"/>
          <w:b/>
          <w:lang w:eastAsia="en-US"/>
        </w:rPr>
        <w:t>Zu den Änderungen im Detail</w:t>
      </w:r>
    </w:p>
    <w:p w:rsidR="00E561AB" w:rsidRPr="00E561AB" w:rsidRDefault="00E561AB" w:rsidP="00E561AB">
      <w:pPr>
        <w:spacing w:line="276" w:lineRule="auto"/>
        <w:rPr>
          <w:rFonts w:ascii="Arial" w:eastAsiaTheme="minorHAnsi" w:hAnsi="Arial" w:cs="Arial"/>
          <w:b/>
          <w:lang w:eastAsia="en-US"/>
        </w:rPr>
      </w:pPr>
    </w:p>
    <w:p w:rsidR="00E561AB" w:rsidRPr="00E561AB" w:rsidRDefault="00E561AB" w:rsidP="00E561AB">
      <w:pPr>
        <w:spacing w:line="276" w:lineRule="auto"/>
        <w:rPr>
          <w:rFonts w:ascii="Arial" w:eastAsiaTheme="minorHAnsi" w:hAnsi="Arial" w:cs="Arial"/>
          <w:lang w:eastAsia="en-US"/>
        </w:rPr>
      </w:pPr>
      <w:r w:rsidRPr="00E561AB">
        <w:rPr>
          <w:rFonts w:ascii="Arial" w:eastAsiaTheme="minorHAnsi" w:hAnsi="Arial" w:cs="Arial"/>
          <w:lang w:eastAsia="en-US"/>
        </w:rPr>
        <w:lastRenderedPageBreak/>
        <w:t xml:space="preserve">Der monatliche Pflegebedarf bei den Pflegestufen 1 und 2 wurde </w:t>
      </w:r>
      <w:r w:rsidRPr="00E561AB">
        <w:rPr>
          <w:rFonts w:ascii="Arial" w:eastAsiaTheme="minorHAnsi" w:hAnsi="Arial" w:cs="Arial"/>
          <w:b/>
          <w:lang w:eastAsia="en-US"/>
        </w:rPr>
        <w:t>ab 1.1.2015</w:t>
      </w:r>
      <w:r w:rsidRPr="00E561AB">
        <w:rPr>
          <w:rFonts w:ascii="Arial" w:eastAsiaTheme="minorHAnsi" w:hAnsi="Arial" w:cs="Arial"/>
          <w:lang w:eastAsia="en-US"/>
        </w:rPr>
        <w:t xml:space="preserve"> wie folgt erhöht:</w:t>
      </w:r>
    </w:p>
    <w:p w:rsidR="00E561AB" w:rsidRPr="00E561AB" w:rsidRDefault="00E561AB" w:rsidP="00E561AB">
      <w:pPr>
        <w:spacing w:line="276" w:lineRule="auto"/>
        <w:rPr>
          <w:rFonts w:ascii="Arial" w:eastAsiaTheme="minorHAnsi" w:hAnsi="Arial" w:cs="Arial"/>
          <w:lang w:eastAsia="en-US"/>
        </w:rPr>
      </w:pPr>
    </w:p>
    <w:p w:rsidR="00E561AB" w:rsidRPr="00E561AB" w:rsidRDefault="00E561AB" w:rsidP="00E561AB">
      <w:pPr>
        <w:numPr>
          <w:ilvl w:val="0"/>
          <w:numId w:val="4"/>
        </w:numPr>
        <w:spacing w:after="200" w:line="276" w:lineRule="auto"/>
        <w:ind w:left="0" w:firstLine="0"/>
        <w:contextualSpacing/>
        <w:rPr>
          <w:rFonts w:ascii="Arial" w:eastAsiaTheme="minorHAnsi" w:hAnsi="Arial" w:cs="Arial"/>
          <w:lang w:eastAsia="en-US"/>
        </w:rPr>
      </w:pPr>
      <w:r w:rsidRPr="00E561AB">
        <w:rPr>
          <w:rFonts w:ascii="Arial" w:eastAsiaTheme="minorHAnsi" w:hAnsi="Arial" w:cs="Arial"/>
          <w:lang w:eastAsia="en-US"/>
        </w:rPr>
        <w:t xml:space="preserve">für die Pflegestufe 1 auf mehr als 65 Stunden (bisher 60 Stunden) und </w:t>
      </w:r>
    </w:p>
    <w:p w:rsidR="00E561AB" w:rsidRPr="00E561AB" w:rsidRDefault="00E561AB" w:rsidP="00E561AB">
      <w:pPr>
        <w:numPr>
          <w:ilvl w:val="0"/>
          <w:numId w:val="4"/>
        </w:numPr>
        <w:spacing w:after="200" w:line="276" w:lineRule="auto"/>
        <w:ind w:left="0" w:firstLine="0"/>
        <w:contextualSpacing/>
        <w:rPr>
          <w:rFonts w:ascii="Arial" w:eastAsiaTheme="minorHAnsi" w:hAnsi="Arial" w:cs="Arial"/>
          <w:lang w:eastAsia="en-US"/>
        </w:rPr>
      </w:pPr>
      <w:r w:rsidRPr="00E561AB">
        <w:rPr>
          <w:rFonts w:ascii="Arial" w:eastAsiaTheme="minorHAnsi" w:hAnsi="Arial" w:cs="Arial"/>
          <w:lang w:eastAsia="en-US"/>
        </w:rPr>
        <w:t xml:space="preserve">für die Pflegestufe 2 auf mehr als 95 Stunden (bisher 85 Stunden). </w:t>
      </w:r>
    </w:p>
    <w:p w:rsidR="00E561AB" w:rsidRPr="00E561AB" w:rsidRDefault="00E561AB" w:rsidP="00E561AB">
      <w:pPr>
        <w:spacing w:line="276" w:lineRule="auto"/>
        <w:rPr>
          <w:rFonts w:ascii="Arial" w:eastAsiaTheme="minorHAnsi" w:hAnsi="Arial" w:cs="Arial"/>
          <w:lang w:eastAsia="en-US"/>
        </w:rPr>
      </w:pPr>
    </w:p>
    <w:p w:rsidR="00E561AB" w:rsidRPr="00E561AB" w:rsidRDefault="00E561AB" w:rsidP="0043200A">
      <w:pPr>
        <w:spacing w:after="200" w:line="276" w:lineRule="auto"/>
        <w:jc w:val="both"/>
        <w:rPr>
          <w:rFonts w:ascii="Arial" w:eastAsiaTheme="minorHAnsi" w:hAnsi="Arial" w:cs="Arial"/>
          <w:lang w:eastAsia="en-US"/>
        </w:rPr>
      </w:pPr>
      <w:r w:rsidRPr="00E561AB">
        <w:rPr>
          <w:rFonts w:ascii="Arial" w:eastAsiaTheme="minorHAnsi" w:hAnsi="Arial" w:cs="Arial"/>
          <w:lang w:eastAsia="en-US"/>
        </w:rPr>
        <w:t xml:space="preserve">Für Pflegebedürftige, die bereits Pflegegeld der Stufen 1 und 2 beziehen, gelten die Änderungen nicht. Eine Minderung oder Entziehung eines rechtskräftig zuerkannten Pflegegeldes wäre  – wie bisher – nur dann zulässig, wenn auch eine wesentliche Verbesserung des Gesundheitszustandes und damit eine Verringerung des Pflegebedarfes eingetreten </w:t>
      </w:r>
      <w:proofErr w:type="gramStart"/>
      <w:r w:rsidRPr="00E561AB">
        <w:rPr>
          <w:rFonts w:ascii="Arial" w:eastAsiaTheme="minorHAnsi" w:hAnsi="Arial" w:cs="Arial"/>
          <w:lang w:eastAsia="en-US"/>
        </w:rPr>
        <w:t>ist</w:t>
      </w:r>
      <w:proofErr w:type="gramEnd"/>
      <w:r w:rsidRPr="00E561AB">
        <w:rPr>
          <w:rFonts w:ascii="Arial" w:eastAsiaTheme="minorHAnsi" w:hAnsi="Arial" w:cs="Arial"/>
          <w:lang w:eastAsia="en-US"/>
        </w:rPr>
        <w:t xml:space="preserve">. Dies gilt auch in den Fällen eines befristet zuerkannten Pflegegeldes. </w:t>
      </w:r>
    </w:p>
    <w:p w:rsidR="00E561AB" w:rsidRPr="00E561AB" w:rsidRDefault="00E561AB" w:rsidP="0043200A">
      <w:pPr>
        <w:spacing w:after="200" w:line="276" w:lineRule="auto"/>
        <w:jc w:val="both"/>
        <w:rPr>
          <w:rFonts w:ascii="Arial" w:eastAsiaTheme="minorHAnsi" w:hAnsi="Arial" w:cs="Arial"/>
          <w:lang w:eastAsia="en-US"/>
        </w:rPr>
      </w:pPr>
      <w:r w:rsidRPr="00E561AB">
        <w:rPr>
          <w:rFonts w:ascii="Arial" w:eastAsiaTheme="minorHAnsi" w:hAnsi="Arial" w:cs="Arial"/>
          <w:lang w:eastAsia="en-US"/>
        </w:rPr>
        <w:t>Ein Beispiel zur Veranschaulichung:</w:t>
      </w:r>
    </w:p>
    <w:p w:rsidR="00E561AB" w:rsidRPr="00E561AB" w:rsidRDefault="00E561AB" w:rsidP="0043200A">
      <w:pPr>
        <w:spacing w:after="200" w:line="276" w:lineRule="auto"/>
        <w:jc w:val="both"/>
        <w:rPr>
          <w:rFonts w:ascii="Arial" w:eastAsiaTheme="minorHAnsi" w:hAnsi="Arial" w:cs="Arial"/>
          <w:lang w:eastAsia="en-US"/>
        </w:rPr>
      </w:pPr>
      <w:r w:rsidRPr="00E561AB">
        <w:rPr>
          <w:rFonts w:ascii="Arial" w:eastAsiaTheme="minorHAnsi" w:hAnsi="Arial" w:cs="Arial"/>
          <w:lang w:eastAsia="en-US"/>
        </w:rPr>
        <w:t xml:space="preserve">Wurde auf Grund eines monatlichen Pflegebedarfes von 90 Stunden ein Pflegegeld in Höhe der Stufe 2 befristet zuerkannt und liegt der Pflegebedarf in dieser Höhe auch nach Ende der Befristung vor, ist auch weiterhin ein Pflegegeld der Stufe 2 zu gewähren. </w:t>
      </w:r>
    </w:p>
    <w:p w:rsidR="00E561AB" w:rsidRPr="00E561AB" w:rsidRDefault="00E561AB" w:rsidP="0043200A">
      <w:pPr>
        <w:spacing w:after="200" w:line="276" w:lineRule="auto"/>
        <w:jc w:val="both"/>
        <w:rPr>
          <w:rFonts w:ascii="Arial" w:eastAsiaTheme="minorHAnsi" w:hAnsi="Arial" w:cs="Arial"/>
          <w:lang w:eastAsia="en-US"/>
        </w:rPr>
      </w:pPr>
      <w:r w:rsidRPr="00E561AB">
        <w:rPr>
          <w:rFonts w:ascii="Arial" w:eastAsiaTheme="minorHAnsi" w:hAnsi="Arial" w:cs="Arial"/>
          <w:lang w:eastAsia="en-US"/>
        </w:rPr>
        <w:t xml:space="preserve">Für alle am 1. Jänner 2015 noch nicht rechtskräftig abgeschlossenen Verfahren auf Zuerkennung oder Erhöhung des Pflegegeldes sind die bis zum 31.12.2014 geltenden Bestimmungen zugrunde zu legen. </w:t>
      </w:r>
    </w:p>
    <w:p w:rsidR="00E561AB" w:rsidRPr="00E561AB" w:rsidRDefault="00E561AB" w:rsidP="00E561AB">
      <w:pPr>
        <w:rPr>
          <w:rFonts w:ascii="Arial" w:hAnsi="Arial"/>
          <w:b/>
        </w:rPr>
      </w:pPr>
    </w:p>
    <w:p w:rsidR="00E561AB" w:rsidRPr="00E561AB" w:rsidRDefault="00E561AB" w:rsidP="00E561AB">
      <w:pPr>
        <w:rPr>
          <w:rFonts w:ascii="Arial" w:hAnsi="Arial"/>
          <w:b/>
        </w:rPr>
      </w:pPr>
      <w:r w:rsidRPr="00E561AB">
        <w:rPr>
          <w:rFonts w:ascii="Arial" w:hAnsi="Arial"/>
          <w:b/>
        </w:rPr>
        <w:t>Valorisierung erst ab 1.1.2016</w:t>
      </w: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Erst mit </w:t>
      </w:r>
      <w:r w:rsidRPr="00E561AB">
        <w:rPr>
          <w:rFonts w:ascii="Arial" w:eastAsiaTheme="minorHAnsi" w:hAnsi="Arial" w:cs="Arial"/>
          <w:b/>
          <w:lang w:eastAsia="en-US"/>
        </w:rPr>
        <w:t>1.1.2016</w:t>
      </w:r>
      <w:r w:rsidRPr="00E561AB">
        <w:rPr>
          <w:rFonts w:ascii="Arial" w:eastAsiaTheme="minorHAnsi" w:hAnsi="Arial" w:cs="Arial"/>
          <w:lang w:eastAsia="en-US"/>
        </w:rPr>
        <w:t xml:space="preserve"> werden die Beträge aller Pflegegeldstufen einmalig um 2 % erhöht. </w:t>
      </w:r>
    </w:p>
    <w:p w:rsidR="00E561AB" w:rsidRPr="00E561AB" w:rsidRDefault="00E561AB" w:rsidP="0043200A">
      <w:pPr>
        <w:spacing w:line="276" w:lineRule="auto"/>
        <w:jc w:val="both"/>
        <w:rPr>
          <w:rFonts w:ascii="Arial" w:eastAsiaTheme="minorHAnsi" w:hAnsi="Arial" w:cs="Arial"/>
          <w:lang w:eastAsia="en-US"/>
        </w:rPr>
      </w:pP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Diese Anhebung ist zwar grundsätzlich zu begrüßen, ist jedoch nicht geeignet, die Entwertung der Pflegegelder durch die jahrelange Nichtvalorisierung auszugleichen. Die Forderung des KOBV, eine regelmäßige jährliche Anpassung der Pflegegelder im Gesetz vorzusehen, wurde nach wie vor nicht umgesetzt. </w:t>
      </w:r>
    </w:p>
    <w:p w:rsidR="00E561AB" w:rsidRPr="00E561AB" w:rsidRDefault="00E561AB" w:rsidP="0043200A">
      <w:pPr>
        <w:spacing w:line="276" w:lineRule="auto"/>
        <w:jc w:val="both"/>
        <w:rPr>
          <w:rFonts w:ascii="Arial" w:eastAsiaTheme="minorHAnsi" w:hAnsi="Arial" w:cs="Arial"/>
          <w:lang w:eastAsia="en-US"/>
        </w:rPr>
      </w:pPr>
    </w:p>
    <w:p w:rsidR="00E561AB" w:rsidRPr="00E561AB" w:rsidRDefault="00E561AB" w:rsidP="0043200A">
      <w:pPr>
        <w:spacing w:line="276" w:lineRule="auto"/>
        <w:jc w:val="both"/>
        <w:rPr>
          <w:rFonts w:ascii="Arial" w:eastAsiaTheme="minorHAnsi" w:hAnsi="Arial" w:cs="Arial"/>
          <w:b/>
          <w:lang w:eastAsia="en-US"/>
        </w:rPr>
      </w:pPr>
      <w:r w:rsidRPr="00E561AB">
        <w:rPr>
          <w:rFonts w:ascii="Arial" w:eastAsiaTheme="minorHAnsi" w:hAnsi="Arial" w:cs="Arial"/>
          <w:b/>
          <w:lang w:eastAsia="en-US"/>
        </w:rPr>
        <w:t>Hausbesuche auch auf Wunsch der Pflegebedürftigen oder der Angehörigen und Angebot von kostenlosen Angehörigengesprächen bei psychischen Belastungen</w:t>
      </w:r>
    </w:p>
    <w:p w:rsidR="00E561AB" w:rsidRPr="00E561AB" w:rsidRDefault="00E561AB" w:rsidP="0043200A">
      <w:pPr>
        <w:spacing w:line="276" w:lineRule="auto"/>
        <w:jc w:val="both"/>
        <w:rPr>
          <w:rFonts w:ascii="Arial" w:eastAsiaTheme="minorHAnsi" w:hAnsi="Arial" w:cs="Arial"/>
          <w:b/>
          <w:lang w:eastAsia="en-US"/>
        </w:rPr>
      </w:pP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Bereits seit 2001 können die Sozialversicherungsträger Maßnahmen zur Qualitätssicherung der Pflege durchführen. Insbesondere können sie in Form von Hausbesuchen überprüfen, ob eine den Bedürfnissen der pflegebedürftigen Person entsprechende Pflege gegeben ist und erforderlichenfalls durch Information und Beratung zu deren Verbesserung beitragen. </w:t>
      </w:r>
    </w:p>
    <w:p w:rsidR="00E561AB" w:rsidRPr="00E561AB" w:rsidRDefault="00E561AB" w:rsidP="0043200A">
      <w:pPr>
        <w:spacing w:line="276" w:lineRule="auto"/>
        <w:jc w:val="both"/>
        <w:rPr>
          <w:rFonts w:ascii="Arial" w:eastAsiaTheme="minorHAnsi" w:hAnsi="Arial" w:cs="Arial"/>
          <w:lang w:eastAsia="en-US"/>
        </w:rPr>
      </w:pP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Im Interesse der Prävention und zur Unterstützung von pflegenden Angehörigen besteht </w:t>
      </w:r>
      <w:r w:rsidRPr="00E561AB">
        <w:rPr>
          <w:rFonts w:ascii="Arial" w:eastAsiaTheme="minorHAnsi" w:hAnsi="Arial" w:cs="Arial"/>
          <w:b/>
          <w:lang w:eastAsia="en-US"/>
        </w:rPr>
        <w:t>ab 1.1.2015</w:t>
      </w:r>
      <w:r w:rsidRPr="00E561AB">
        <w:rPr>
          <w:rFonts w:ascii="Arial" w:eastAsiaTheme="minorHAnsi" w:hAnsi="Arial" w:cs="Arial"/>
          <w:lang w:eastAsia="en-US"/>
        </w:rPr>
        <w:t xml:space="preserve"> die Möglichkeit, auch auf Wunsch der Pflegebedürftigen oder </w:t>
      </w:r>
      <w:r w:rsidRPr="00E561AB">
        <w:rPr>
          <w:rFonts w:ascii="Arial" w:eastAsiaTheme="minorHAnsi" w:hAnsi="Arial" w:cs="Arial"/>
          <w:lang w:eastAsia="en-US"/>
        </w:rPr>
        <w:lastRenderedPageBreak/>
        <w:t xml:space="preserve">ihrer pflegenden Angehörigen Hausbesuche im Rahmen der Qualitätssicherung in der häuslichen Pflege durchzuführen. </w:t>
      </w:r>
    </w:p>
    <w:p w:rsidR="00E561AB" w:rsidRPr="00E561AB" w:rsidRDefault="00E561AB" w:rsidP="0043200A">
      <w:pPr>
        <w:spacing w:line="276" w:lineRule="auto"/>
        <w:jc w:val="both"/>
        <w:rPr>
          <w:rFonts w:ascii="Arial" w:eastAsiaTheme="minorHAnsi" w:hAnsi="Arial" w:cs="Arial"/>
          <w:lang w:eastAsia="en-US"/>
        </w:rPr>
      </w:pP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Pflegenden Angehörigen, die im Rahmen eines solchen Hausbesuches psychische Belastungen angegeben haben, können vom zuständigen Sozialversicherungsträger als Beitrag zur Prävention und als weitere qualitätssichernde Maßnahme Unterstützungsgespräche angeboten werden. </w:t>
      </w:r>
    </w:p>
    <w:p w:rsidR="00E561AB" w:rsidRPr="00E561AB" w:rsidRDefault="00E561AB" w:rsidP="0043200A">
      <w:pPr>
        <w:spacing w:line="276" w:lineRule="auto"/>
        <w:jc w:val="both"/>
        <w:rPr>
          <w:rFonts w:ascii="Arial" w:eastAsiaTheme="minorHAnsi" w:hAnsi="Arial" w:cs="Arial"/>
          <w:lang w:eastAsia="en-US"/>
        </w:rPr>
      </w:pPr>
    </w:p>
    <w:p w:rsidR="00E561AB" w:rsidRPr="00E561AB" w:rsidRDefault="00E561AB" w:rsidP="0043200A">
      <w:pPr>
        <w:spacing w:line="276" w:lineRule="auto"/>
        <w:jc w:val="both"/>
        <w:rPr>
          <w:rFonts w:ascii="Arial" w:eastAsiaTheme="minorHAnsi" w:hAnsi="Arial" w:cs="Arial"/>
          <w:b/>
          <w:lang w:eastAsia="en-US"/>
        </w:rPr>
      </w:pPr>
      <w:r w:rsidRPr="00E561AB">
        <w:rPr>
          <w:rFonts w:ascii="Arial" w:eastAsiaTheme="minorHAnsi" w:hAnsi="Arial" w:cs="Arial"/>
          <w:b/>
          <w:lang w:eastAsia="en-US"/>
        </w:rPr>
        <w:t>Gesetzliche Verankerung der Online-Informationsangebote des Sozialministeriums</w:t>
      </w:r>
    </w:p>
    <w:p w:rsidR="00E561AB" w:rsidRPr="00E561AB" w:rsidRDefault="00E561AB" w:rsidP="0043200A">
      <w:pPr>
        <w:spacing w:line="276" w:lineRule="auto"/>
        <w:jc w:val="both"/>
        <w:rPr>
          <w:rFonts w:ascii="Arial" w:eastAsiaTheme="minorHAnsi" w:hAnsi="Arial" w:cs="Arial"/>
          <w:b/>
          <w:lang w:eastAsia="en-US"/>
        </w:rPr>
      </w:pP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Als Informationsangebot zur Bewältigung des Pflegealltages wurde vom Sozialministerium die Internetplattform </w:t>
      </w:r>
      <w:hyperlink r:id="rId14" w:history="1">
        <w:r w:rsidRPr="00E561AB">
          <w:rPr>
            <w:rFonts w:ascii="Arial" w:eastAsiaTheme="minorHAnsi" w:hAnsi="Arial" w:cs="Arial"/>
            <w:color w:val="0000FF" w:themeColor="hyperlink"/>
            <w:u w:val="single"/>
            <w:lang w:eastAsia="en-US"/>
          </w:rPr>
          <w:t>www.pflegedaheim.at</w:t>
        </w:r>
      </w:hyperlink>
      <w:r w:rsidRPr="00E561AB">
        <w:rPr>
          <w:rFonts w:ascii="Arial" w:eastAsiaTheme="minorHAnsi" w:hAnsi="Arial" w:cs="Arial"/>
          <w:lang w:eastAsia="en-US"/>
        </w:rPr>
        <w:t xml:space="preserve"> für pflegende Angehörige als Online-Informationsangebot eingerichtet, welches nunmehr auch gesetzlich verankert wurde. </w:t>
      </w:r>
    </w:p>
    <w:p w:rsidR="00E561AB" w:rsidRPr="00E561AB" w:rsidRDefault="00E561AB" w:rsidP="0043200A">
      <w:pPr>
        <w:spacing w:line="276" w:lineRule="auto"/>
        <w:jc w:val="both"/>
        <w:rPr>
          <w:rFonts w:ascii="Arial" w:eastAsiaTheme="minorHAnsi" w:hAnsi="Arial" w:cs="Arial"/>
          <w:lang w:eastAsia="en-US"/>
        </w:rPr>
      </w:pPr>
    </w:p>
    <w:p w:rsidR="00E561AB" w:rsidRPr="0042365B" w:rsidRDefault="00E561AB" w:rsidP="0043200A">
      <w:pPr>
        <w:spacing w:line="276" w:lineRule="auto"/>
        <w:jc w:val="both"/>
        <w:rPr>
          <w:rFonts w:ascii="Arial" w:eastAsiaTheme="minorHAnsi" w:hAnsi="Arial" w:cs="Arial"/>
          <w:b/>
          <w:lang w:eastAsia="en-US"/>
        </w:rPr>
      </w:pPr>
      <w:r w:rsidRPr="0042365B">
        <w:rPr>
          <w:rFonts w:ascii="Arial" w:eastAsiaTheme="minorHAnsi" w:hAnsi="Arial" w:cs="Arial"/>
          <w:b/>
          <w:lang w:eastAsia="en-US"/>
        </w:rPr>
        <w:t>Klarstellung der Zuständigkeit für Pflegegeldleistungen nach europarechtlichen Vorschriften</w:t>
      </w:r>
    </w:p>
    <w:p w:rsidR="00E561AB" w:rsidRPr="00E561AB" w:rsidRDefault="00E561AB" w:rsidP="0043200A">
      <w:pPr>
        <w:spacing w:line="276" w:lineRule="auto"/>
        <w:jc w:val="both"/>
        <w:rPr>
          <w:rFonts w:ascii="Arial" w:eastAsiaTheme="minorHAnsi" w:hAnsi="Arial" w:cs="Arial"/>
          <w:b/>
          <w:lang w:eastAsia="en-US"/>
        </w:rPr>
      </w:pP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Durch die mit 1.1.2015 in Kraft getretene Änderung des </w:t>
      </w:r>
      <w:r w:rsidRPr="00E561AB">
        <w:rPr>
          <w:rFonts w:ascii="Arial" w:eastAsiaTheme="minorHAnsi" w:hAnsi="Arial" w:cs="Arial"/>
          <w:b/>
          <w:lang w:eastAsia="en-US"/>
        </w:rPr>
        <w:t xml:space="preserve">§ 3 a Abs. 1 BPGG </w:t>
      </w:r>
      <w:r w:rsidRPr="00E561AB">
        <w:rPr>
          <w:rFonts w:ascii="Arial" w:eastAsiaTheme="minorHAnsi" w:hAnsi="Arial" w:cs="Arial"/>
          <w:lang w:eastAsia="en-US"/>
        </w:rPr>
        <w:t xml:space="preserve">wurde klargestellt, dass ein Anspruch auf Pflegegeld auch ohne Grundleistung gem. § 3 Abs. 1 und 2 für österreichische Staatsbürger und Unionsbürger, die ihren gewöhnlichen Aufenthalt im Inland haben, nur dann besteht, wenn nach der VO (EG) 883/2004 über die Koordinierung der Systeme der sozialen Sicherheit nicht ein anderer Mitgliedsstaat für Pflegeleistungen zuständig ist. Österreich soll demnach nur dann zur Leistung von Pflegegeld verpflichtet sein, wenn Österreich auch für Leistungen bei Krankheit europarechtlich zuständig ist. </w:t>
      </w:r>
    </w:p>
    <w:p w:rsidR="00E561AB" w:rsidRPr="00E561AB" w:rsidRDefault="00E561AB" w:rsidP="0043200A">
      <w:pPr>
        <w:spacing w:line="276" w:lineRule="auto"/>
        <w:jc w:val="both"/>
        <w:rPr>
          <w:rFonts w:ascii="Arial" w:eastAsiaTheme="minorHAnsi" w:hAnsi="Arial" w:cs="Arial"/>
          <w:lang w:eastAsia="en-US"/>
        </w:rPr>
      </w:pPr>
    </w:p>
    <w:p w:rsidR="00E561AB" w:rsidRPr="0042365B" w:rsidRDefault="00E561AB" w:rsidP="0043200A">
      <w:pPr>
        <w:spacing w:line="276" w:lineRule="auto"/>
        <w:jc w:val="both"/>
        <w:rPr>
          <w:rFonts w:ascii="Arial" w:eastAsiaTheme="minorHAnsi" w:hAnsi="Arial" w:cs="Arial"/>
          <w:b/>
          <w:lang w:eastAsia="en-US"/>
        </w:rPr>
      </w:pPr>
      <w:r w:rsidRPr="0042365B">
        <w:rPr>
          <w:rFonts w:ascii="Arial" w:eastAsiaTheme="minorHAnsi" w:hAnsi="Arial" w:cs="Arial"/>
          <w:b/>
          <w:lang w:eastAsia="en-US"/>
        </w:rPr>
        <w:t>Verpflichtung zur Geltendmachung von Ansprüchen auf anrechenbare Geldleistungen nach ausländischen Vorschriften</w:t>
      </w:r>
    </w:p>
    <w:p w:rsidR="00E561AB" w:rsidRPr="00E561AB" w:rsidRDefault="00E561AB" w:rsidP="0043200A">
      <w:pPr>
        <w:spacing w:line="276" w:lineRule="auto"/>
        <w:jc w:val="both"/>
        <w:rPr>
          <w:rFonts w:ascii="Arial" w:eastAsiaTheme="minorHAnsi" w:hAnsi="Arial" w:cs="Arial"/>
          <w:b/>
          <w:lang w:eastAsia="en-US"/>
        </w:rPr>
      </w:pPr>
    </w:p>
    <w:p w:rsidR="00E561AB" w:rsidRPr="00E561AB" w:rsidRDefault="00E561AB" w:rsidP="0043200A">
      <w:pPr>
        <w:spacing w:line="276" w:lineRule="auto"/>
        <w:jc w:val="both"/>
        <w:rPr>
          <w:rFonts w:ascii="Arial" w:eastAsiaTheme="minorHAnsi" w:hAnsi="Arial" w:cs="Arial"/>
          <w:lang w:eastAsia="en-US"/>
        </w:rPr>
      </w:pPr>
      <w:r w:rsidRPr="00E561AB">
        <w:rPr>
          <w:rFonts w:ascii="Arial" w:eastAsiaTheme="minorHAnsi" w:hAnsi="Arial" w:cs="Arial"/>
          <w:lang w:eastAsia="en-US"/>
        </w:rPr>
        <w:t xml:space="preserve">Die Leistung von Pflegegeld kann ab 1.1.2015 auch dann abgelehnt, gemindert oder entzogen werden, wenn der Anspruchsberechtigte oder Anspruchswerber ohne triftigen Grund Ansprüche auf anrechenbare Geldleistungen nach ausländischen Vorschriften trotz schriftlicher Aufforderung nicht nachweislich geltend macht </w:t>
      </w:r>
      <w:r w:rsidRPr="00E561AB">
        <w:rPr>
          <w:rFonts w:ascii="Arial" w:eastAsiaTheme="minorHAnsi" w:hAnsi="Arial" w:cs="Arial"/>
          <w:b/>
          <w:lang w:eastAsia="en-US"/>
        </w:rPr>
        <w:t>(§ 26 Abs. 1 Z 4 BPGG).</w:t>
      </w:r>
    </w:p>
    <w:p w:rsidR="00E561AB" w:rsidRPr="00E561AB" w:rsidRDefault="00E561AB" w:rsidP="0043200A">
      <w:pPr>
        <w:spacing w:line="276" w:lineRule="auto"/>
        <w:jc w:val="both"/>
        <w:rPr>
          <w:rFonts w:ascii="Arial" w:eastAsiaTheme="minorHAnsi" w:hAnsi="Arial" w:cs="Arial"/>
          <w:b/>
          <w:lang w:eastAsia="en-US"/>
        </w:rPr>
      </w:pPr>
    </w:p>
    <w:p w:rsidR="00E561AB" w:rsidRPr="00E561AB" w:rsidRDefault="00E561AB" w:rsidP="00E561AB">
      <w:pPr>
        <w:spacing w:line="276" w:lineRule="auto"/>
        <w:rPr>
          <w:rFonts w:ascii="Arial" w:eastAsiaTheme="minorHAnsi" w:hAnsi="Arial" w:cs="Arial"/>
          <w:lang w:eastAsia="en-US"/>
        </w:rPr>
      </w:pPr>
    </w:p>
    <w:p w:rsidR="00E561AB" w:rsidRPr="00E561AB" w:rsidRDefault="00E561AB" w:rsidP="00E561AB">
      <w:pPr>
        <w:spacing w:line="276" w:lineRule="auto"/>
        <w:rPr>
          <w:rFonts w:ascii="Arial" w:eastAsiaTheme="minorHAnsi" w:hAnsi="Arial" w:cs="Arial"/>
          <w:lang w:eastAsia="en-US"/>
        </w:rPr>
      </w:pPr>
    </w:p>
    <w:p w:rsidR="00E561AB" w:rsidRPr="00E561AB" w:rsidRDefault="00E561AB" w:rsidP="00E561AB">
      <w:pPr>
        <w:spacing w:line="276" w:lineRule="auto"/>
        <w:rPr>
          <w:rFonts w:ascii="Arial" w:eastAsiaTheme="minorHAnsi" w:hAnsi="Arial" w:cs="Arial"/>
          <w:b/>
          <w:lang w:eastAsia="en-US"/>
        </w:rPr>
      </w:pPr>
    </w:p>
    <w:p w:rsidR="00E561AB" w:rsidRPr="00E561AB" w:rsidRDefault="00E561AB" w:rsidP="00E561AB">
      <w:pPr>
        <w:spacing w:after="200" w:line="276" w:lineRule="auto"/>
        <w:rPr>
          <w:rFonts w:asciiTheme="minorHAnsi" w:eastAsiaTheme="minorHAnsi" w:hAnsiTheme="minorHAnsi" w:cstheme="minorBidi"/>
          <w:sz w:val="22"/>
          <w:szCs w:val="22"/>
          <w:lang w:eastAsia="en-US"/>
        </w:rPr>
      </w:pPr>
    </w:p>
    <w:p w:rsidR="00E561AB" w:rsidRDefault="00E561AB"/>
    <w:sectPr w:rsidR="00E561A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FE" w:rsidRDefault="003D76FE" w:rsidP="003D76FE">
      <w:r>
        <w:separator/>
      </w:r>
    </w:p>
  </w:endnote>
  <w:endnote w:type="continuationSeparator" w:id="0">
    <w:p w:rsidR="003D76FE" w:rsidRDefault="003D76FE" w:rsidP="003D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FE" w:rsidRDefault="003D76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FE" w:rsidRDefault="003D76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FE" w:rsidRDefault="003D7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FE" w:rsidRDefault="003D76FE" w:rsidP="003D76FE">
      <w:r>
        <w:separator/>
      </w:r>
    </w:p>
  </w:footnote>
  <w:footnote w:type="continuationSeparator" w:id="0">
    <w:p w:rsidR="003D76FE" w:rsidRDefault="003D76FE" w:rsidP="003D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FE" w:rsidRDefault="003D76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FE" w:rsidRDefault="003D76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FE" w:rsidRDefault="003D76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75E"/>
    <w:multiLevelType w:val="hybridMultilevel"/>
    <w:tmpl w:val="893E71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1005BC5"/>
    <w:multiLevelType w:val="hybridMultilevel"/>
    <w:tmpl w:val="C29A0B4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DE4DE8"/>
    <w:multiLevelType w:val="hybridMultilevel"/>
    <w:tmpl w:val="F58210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4510D05"/>
    <w:multiLevelType w:val="hybridMultilevel"/>
    <w:tmpl w:val="20408FC4"/>
    <w:lvl w:ilvl="0" w:tplc="7FC64E1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3971004"/>
    <w:multiLevelType w:val="hybridMultilevel"/>
    <w:tmpl w:val="E6306250"/>
    <w:lvl w:ilvl="0" w:tplc="90268C90">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29416145"/>
    <w:multiLevelType w:val="hybridMultilevel"/>
    <w:tmpl w:val="8202FDF2"/>
    <w:lvl w:ilvl="0" w:tplc="BA9697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C4633C"/>
    <w:multiLevelType w:val="hybridMultilevel"/>
    <w:tmpl w:val="6D4C655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15D68B9"/>
    <w:multiLevelType w:val="hybridMultilevel"/>
    <w:tmpl w:val="B9AA433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5023A99"/>
    <w:multiLevelType w:val="hybridMultilevel"/>
    <w:tmpl w:val="8D20AF6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419382E"/>
    <w:multiLevelType w:val="hybridMultilevel"/>
    <w:tmpl w:val="F3C67C9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449F5912"/>
    <w:multiLevelType w:val="hybridMultilevel"/>
    <w:tmpl w:val="8514EDF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BB35C50"/>
    <w:multiLevelType w:val="hybridMultilevel"/>
    <w:tmpl w:val="4C40972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AB50DE2"/>
    <w:multiLevelType w:val="hybridMultilevel"/>
    <w:tmpl w:val="72048C1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BAC2AF8"/>
    <w:multiLevelType w:val="hybridMultilevel"/>
    <w:tmpl w:val="6D64FF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FE47888"/>
    <w:multiLevelType w:val="hybridMultilevel"/>
    <w:tmpl w:val="7C7E6C0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7"/>
  </w:num>
  <w:num w:numId="7">
    <w:abstractNumId w:val="8"/>
  </w:num>
  <w:num w:numId="8">
    <w:abstractNumId w:val="0"/>
  </w:num>
  <w:num w:numId="9">
    <w:abstractNumId w:val="1"/>
  </w:num>
  <w:num w:numId="10">
    <w:abstractNumId w:val="11"/>
  </w:num>
  <w:num w:numId="11">
    <w:abstractNumId w:val="13"/>
  </w:num>
  <w:num w:numId="12">
    <w:abstractNumId w:val="12"/>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C6"/>
    <w:rsid w:val="001B0C99"/>
    <w:rsid w:val="003D76FE"/>
    <w:rsid w:val="0042365B"/>
    <w:rsid w:val="0043200A"/>
    <w:rsid w:val="00CC0AC6"/>
    <w:rsid w:val="00E561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AC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C0AC6"/>
    <w:pPr>
      <w:keepNext/>
      <w:outlineLvl w:val="0"/>
    </w:pPr>
    <w:rPr>
      <w:rFonts w:ascii="Arial" w:hAnsi="Arial"/>
      <w:b/>
      <w:sz w:val="28"/>
      <w:lang w:val="de-CH"/>
    </w:rPr>
  </w:style>
  <w:style w:type="paragraph" w:styleId="berschrift2">
    <w:name w:val="heading 2"/>
    <w:basedOn w:val="Standard"/>
    <w:next w:val="Standard"/>
    <w:link w:val="berschrift2Zchn"/>
    <w:qFormat/>
    <w:rsid w:val="00CC0AC6"/>
    <w:pPr>
      <w:keepNext/>
      <w:outlineLvl w:val="1"/>
    </w:pPr>
    <w:rPr>
      <w:rFonts w:ascii="Arial" w:hAnsi="Arial"/>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C0AC6"/>
    <w:rPr>
      <w:rFonts w:ascii="Arial" w:eastAsia="Times New Roman" w:hAnsi="Arial" w:cs="Times New Roman"/>
      <w:b/>
      <w:sz w:val="28"/>
      <w:szCs w:val="24"/>
      <w:lang w:val="de-CH" w:eastAsia="de-DE"/>
    </w:rPr>
  </w:style>
  <w:style w:type="character" w:customStyle="1" w:styleId="berschrift2Zchn">
    <w:name w:val="Überschrift 2 Zchn"/>
    <w:basedOn w:val="Absatz-Standardschriftart"/>
    <w:link w:val="berschrift2"/>
    <w:rsid w:val="00CC0AC6"/>
    <w:rPr>
      <w:rFonts w:ascii="Arial" w:eastAsia="Times New Roman" w:hAnsi="Arial" w:cs="Times New Roman"/>
      <w:b/>
      <w:sz w:val="24"/>
      <w:szCs w:val="24"/>
      <w:lang w:val="de-CH" w:eastAsia="de-DE"/>
    </w:rPr>
  </w:style>
  <w:style w:type="paragraph" w:styleId="Listenabsatz">
    <w:name w:val="List Paragraph"/>
    <w:basedOn w:val="Standard"/>
    <w:uiPriority w:val="34"/>
    <w:qFormat/>
    <w:rsid w:val="00CC0AC6"/>
    <w:pPr>
      <w:ind w:left="720"/>
      <w:contextualSpacing/>
    </w:pPr>
  </w:style>
  <w:style w:type="paragraph" w:styleId="Kopfzeile">
    <w:name w:val="header"/>
    <w:basedOn w:val="Standard"/>
    <w:link w:val="KopfzeileZchn"/>
    <w:semiHidden/>
    <w:rsid w:val="00E561AB"/>
    <w:pPr>
      <w:tabs>
        <w:tab w:val="center" w:pos="4536"/>
        <w:tab w:val="right" w:pos="9072"/>
      </w:tabs>
    </w:pPr>
    <w:rPr>
      <w:lang w:val="de-AT"/>
    </w:rPr>
  </w:style>
  <w:style w:type="character" w:customStyle="1" w:styleId="KopfzeileZchn">
    <w:name w:val="Kopfzeile Zchn"/>
    <w:basedOn w:val="Absatz-Standardschriftart"/>
    <w:link w:val="Kopfzeile"/>
    <w:semiHidden/>
    <w:rsid w:val="00E561AB"/>
    <w:rPr>
      <w:rFonts w:ascii="Times New Roman" w:eastAsia="Times New Roman" w:hAnsi="Times New Roman" w:cs="Times New Roman"/>
      <w:sz w:val="24"/>
      <w:szCs w:val="24"/>
      <w:lang w:eastAsia="de-DE"/>
    </w:rPr>
  </w:style>
  <w:style w:type="paragraph" w:styleId="Blocktext">
    <w:name w:val="Block Text"/>
    <w:basedOn w:val="Standard"/>
    <w:semiHidden/>
    <w:rsid w:val="00E561AB"/>
    <w:pPr>
      <w:tabs>
        <w:tab w:val="left" w:pos="1200"/>
      </w:tabs>
      <w:spacing w:line="360" w:lineRule="atLeast"/>
      <w:ind w:left="840" w:right="576"/>
      <w:jc w:val="both"/>
    </w:pPr>
    <w:rPr>
      <w:rFonts w:ascii="Helvetica" w:hAnsi="Helvetica"/>
      <w:b/>
      <w:color w:val="000000"/>
      <w:sz w:val="28"/>
      <w:szCs w:val="20"/>
    </w:rPr>
  </w:style>
  <w:style w:type="paragraph" w:styleId="Textkrper">
    <w:name w:val="Body Text"/>
    <w:basedOn w:val="Standard"/>
    <w:link w:val="TextkrperZchn"/>
    <w:semiHidden/>
    <w:unhideWhenUsed/>
    <w:rsid w:val="00E561AB"/>
    <w:pPr>
      <w:jc w:val="both"/>
    </w:pPr>
    <w:rPr>
      <w:rFonts w:ascii="Arial" w:hAnsi="Arial" w:cs="Arial"/>
    </w:rPr>
  </w:style>
  <w:style w:type="character" w:customStyle="1" w:styleId="TextkrperZchn">
    <w:name w:val="Textkörper Zchn"/>
    <w:basedOn w:val="Absatz-Standardschriftart"/>
    <w:link w:val="Textkrper"/>
    <w:semiHidden/>
    <w:rsid w:val="00E561AB"/>
    <w:rPr>
      <w:rFonts w:ascii="Arial" w:eastAsia="Times New Roman" w:hAnsi="Arial" w:cs="Arial"/>
      <w:sz w:val="24"/>
      <w:szCs w:val="24"/>
      <w:lang w:val="de-DE" w:eastAsia="de-DE"/>
    </w:rPr>
  </w:style>
  <w:style w:type="character" w:styleId="Fett">
    <w:name w:val="Strong"/>
    <w:basedOn w:val="Absatz-Standardschriftart"/>
    <w:uiPriority w:val="22"/>
    <w:qFormat/>
    <w:rsid w:val="00E561AB"/>
    <w:rPr>
      <w:b/>
      <w:bCs/>
    </w:rPr>
  </w:style>
  <w:style w:type="character" w:styleId="Hyperlink">
    <w:name w:val="Hyperlink"/>
    <w:basedOn w:val="Absatz-Standardschriftart"/>
    <w:uiPriority w:val="99"/>
    <w:semiHidden/>
    <w:unhideWhenUsed/>
    <w:rsid w:val="00E561AB"/>
    <w:rPr>
      <w:color w:val="0000FF"/>
      <w:u w:val="single"/>
    </w:rPr>
  </w:style>
  <w:style w:type="paragraph" w:customStyle="1" w:styleId="Textkrper31">
    <w:name w:val="Textkörper 31"/>
    <w:basedOn w:val="Standard"/>
    <w:rsid w:val="00E561AB"/>
    <w:pPr>
      <w:overflowPunct w:val="0"/>
      <w:autoSpaceDE w:val="0"/>
      <w:autoSpaceDN w:val="0"/>
      <w:adjustRightInd w:val="0"/>
      <w:jc w:val="both"/>
      <w:textAlignment w:val="baseline"/>
    </w:pPr>
    <w:rPr>
      <w:rFonts w:ascii="Arial" w:hAnsi="Arial"/>
      <w:b/>
      <w:szCs w:val="20"/>
    </w:rPr>
  </w:style>
  <w:style w:type="paragraph" w:customStyle="1" w:styleId="bodytext">
    <w:name w:val="bodytext"/>
    <w:basedOn w:val="Standard"/>
    <w:rsid w:val="00E561AB"/>
    <w:pPr>
      <w:spacing w:before="100" w:beforeAutospacing="1" w:after="100" w:afterAutospacing="1"/>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AC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C0AC6"/>
    <w:pPr>
      <w:keepNext/>
      <w:outlineLvl w:val="0"/>
    </w:pPr>
    <w:rPr>
      <w:rFonts w:ascii="Arial" w:hAnsi="Arial"/>
      <w:b/>
      <w:sz w:val="28"/>
      <w:lang w:val="de-CH"/>
    </w:rPr>
  </w:style>
  <w:style w:type="paragraph" w:styleId="berschrift2">
    <w:name w:val="heading 2"/>
    <w:basedOn w:val="Standard"/>
    <w:next w:val="Standard"/>
    <w:link w:val="berschrift2Zchn"/>
    <w:qFormat/>
    <w:rsid w:val="00CC0AC6"/>
    <w:pPr>
      <w:keepNext/>
      <w:outlineLvl w:val="1"/>
    </w:pPr>
    <w:rPr>
      <w:rFonts w:ascii="Arial" w:hAnsi="Arial"/>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C0AC6"/>
    <w:rPr>
      <w:rFonts w:ascii="Arial" w:eastAsia="Times New Roman" w:hAnsi="Arial" w:cs="Times New Roman"/>
      <w:b/>
      <w:sz w:val="28"/>
      <w:szCs w:val="24"/>
      <w:lang w:val="de-CH" w:eastAsia="de-DE"/>
    </w:rPr>
  </w:style>
  <w:style w:type="character" w:customStyle="1" w:styleId="berschrift2Zchn">
    <w:name w:val="Überschrift 2 Zchn"/>
    <w:basedOn w:val="Absatz-Standardschriftart"/>
    <w:link w:val="berschrift2"/>
    <w:rsid w:val="00CC0AC6"/>
    <w:rPr>
      <w:rFonts w:ascii="Arial" w:eastAsia="Times New Roman" w:hAnsi="Arial" w:cs="Times New Roman"/>
      <w:b/>
      <w:sz w:val="24"/>
      <w:szCs w:val="24"/>
      <w:lang w:val="de-CH" w:eastAsia="de-DE"/>
    </w:rPr>
  </w:style>
  <w:style w:type="paragraph" w:styleId="Listenabsatz">
    <w:name w:val="List Paragraph"/>
    <w:basedOn w:val="Standard"/>
    <w:uiPriority w:val="34"/>
    <w:qFormat/>
    <w:rsid w:val="00CC0AC6"/>
    <w:pPr>
      <w:ind w:left="720"/>
      <w:contextualSpacing/>
    </w:pPr>
  </w:style>
  <w:style w:type="paragraph" w:styleId="Kopfzeile">
    <w:name w:val="header"/>
    <w:basedOn w:val="Standard"/>
    <w:link w:val="KopfzeileZchn"/>
    <w:semiHidden/>
    <w:rsid w:val="00E561AB"/>
    <w:pPr>
      <w:tabs>
        <w:tab w:val="center" w:pos="4536"/>
        <w:tab w:val="right" w:pos="9072"/>
      </w:tabs>
    </w:pPr>
    <w:rPr>
      <w:lang w:val="de-AT"/>
    </w:rPr>
  </w:style>
  <w:style w:type="character" w:customStyle="1" w:styleId="KopfzeileZchn">
    <w:name w:val="Kopfzeile Zchn"/>
    <w:basedOn w:val="Absatz-Standardschriftart"/>
    <w:link w:val="Kopfzeile"/>
    <w:semiHidden/>
    <w:rsid w:val="00E561AB"/>
    <w:rPr>
      <w:rFonts w:ascii="Times New Roman" w:eastAsia="Times New Roman" w:hAnsi="Times New Roman" w:cs="Times New Roman"/>
      <w:sz w:val="24"/>
      <w:szCs w:val="24"/>
      <w:lang w:eastAsia="de-DE"/>
    </w:rPr>
  </w:style>
  <w:style w:type="paragraph" w:styleId="Blocktext">
    <w:name w:val="Block Text"/>
    <w:basedOn w:val="Standard"/>
    <w:semiHidden/>
    <w:rsid w:val="00E561AB"/>
    <w:pPr>
      <w:tabs>
        <w:tab w:val="left" w:pos="1200"/>
      </w:tabs>
      <w:spacing w:line="360" w:lineRule="atLeast"/>
      <w:ind w:left="840" w:right="576"/>
      <w:jc w:val="both"/>
    </w:pPr>
    <w:rPr>
      <w:rFonts w:ascii="Helvetica" w:hAnsi="Helvetica"/>
      <w:b/>
      <w:color w:val="000000"/>
      <w:sz w:val="28"/>
      <w:szCs w:val="20"/>
    </w:rPr>
  </w:style>
  <w:style w:type="paragraph" w:styleId="Textkrper">
    <w:name w:val="Body Text"/>
    <w:basedOn w:val="Standard"/>
    <w:link w:val="TextkrperZchn"/>
    <w:semiHidden/>
    <w:unhideWhenUsed/>
    <w:rsid w:val="00E561AB"/>
    <w:pPr>
      <w:jc w:val="both"/>
    </w:pPr>
    <w:rPr>
      <w:rFonts w:ascii="Arial" w:hAnsi="Arial" w:cs="Arial"/>
    </w:rPr>
  </w:style>
  <w:style w:type="character" w:customStyle="1" w:styleId="TextkrperZchn">
    <w:name w:val="Textkörper Zchn"/>
    <w:basedOn w:val="Absatz-Standardschriftart"/>
    <w:link w:val="Textkrper"/>
    <w:semiHidden/>
    <w:rsid w:val="00E561AB"/>
    <w:rPr>
      <w:rFonts w:ascii="Arial" w:eastAsia="Times New Roman" w:hAnsi="Arial" w:cs="Arial"/>
      <w:sz w:val="24"/>
      <w:szCs w:val="24"/>
      <w:lang w:val="de-DE" w:eastAsia="de-DE"/>
    </w:rPr>
  </w:style>
  <w:style w:type="character" w:styleId="Fett">
    <w:name w:val="Strong"/>
    <w:basedOn w:val="Absatz-Standardschriftart"/>
    <w:uiPriority w:val="22"/>
    <w:qFormat/>
    <w:rsid w:val="00E561AB"/>
    <w:rPr>
      <w:b/>
      <w:bCs/>
    </w:rPr>
  </w:style>
  <w:style w:type="character" w:styleId="Hyperlink">
    <w:name w:val="Hyperlink"/>
    <w:basedOn w:val="Absatz-Standardschriftart"/>
    <w:uiPriority w:val="99"/>
    <w:semiHidden/>
    <w:unhideWhenUsed/>
    <w:rsid w:val="00E561AB"/>
    <w:rPr>
      <w:color w:val="0000FF"/>
      <w:u w:val="single"/>
    </w:rPr>
  </w:style>
  <w:style w:type="paragraph" w:customStyle="1" w:styleId="Textkrper31">
    <w:name w:val="Textkörper 31"/>
    <w:basedOn w:val="Standard"/>
    <w:rsid w:val="00E561AB"/>
    <w:pPr>
      <w:overflowPunct w:val="0"/>
      <w:autoSpaceDE w:val="0"/>
      <w:autoSpaceDN w:val="0"/>
      <w:adjustRightInd w:val="0"/>
      <w:jc w:val="both"/>
      <w:textAlignment w:val="baseline"/>
    </w:pPr>
    <w:rPr>
      <w:rFonts w:ascii="Arial" w:hAnsi="Arial"/>
      <w:b/>
      <w:szCs w:val="20"/>
    </w:rPr>
  </w:style>
  <w:style w:type="paragraph" w:customStyle="1" w:styleId="bodytext">
    <w:name w:val="bodytext"/>
    <w:basedOn w:val="Standard"/>
    <w:rsid w:val="00E561AB"/>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net/hilfe-support/zuschuss" TargetMode="External"/><Relationship Id="rId13" Type="http://schemas.openxmlformats.org/officeDocument/2006/relationships/hyperlink" Target="http://www.t-mobile.at/privat/Klax_Wertkarte/klax_tarife/_klax_sozial.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tvam.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ei.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icall.a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ob.at/bobsozialzuschuss" TargetMode="External"/><Relationship Id="rId14" Type="http://schemas.openxmlformats.org/officeDocument/2006/relationships/hyperlink" Target="http://www.pflegedaheim.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11031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Schrenk</dc:creator>
  <cp:lastModifiedBy>Schrenk</cp:lastModifiedBy>
  <cp:revision>5</cp:revision>
  <dcterms:created xsi:type="dcterms:W3CDTF">2015-02-18T12:17:00Z</dcterms:created>
  <dcterms:modified xsi:type="dcterms:W3CDTF">2015-02-18T13:43:00Z</dcterms:modified>
</cp:coreProperties>
</file>